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8EACD8" w14:textId="77777777" w:rsidR="00C46BD9" w:rsidRDefault="00C46BD9" w:rsidP="00C46BD9">
      <w:pPr>
        <w:spacing w:line="480" w:lineRule="auto"/>
        <w:jc w:val="center"/>
        <w:rPr>
          <w:rFonts w:ascii="Times New Roman" w:hAnsi="Times New Roman" w:cs="Times New Roman"/>
          <w:sz w:val="24"/>
          <w:szCs w:val="24"/>
          <w:lang w:val="en-US"/>
        </w:rPr>
      </w:pPr>
    </w:p>
    <w:p w14:paraId="0D4A32B6" w14:textId="77777777" w:rsidR="00C46BD9" w:rsidRDefault="00C46BD9" w:rsidP="00C46BD9">
      <w:pPr>
        <w:spacing w:line="480" w:lineRule="auto"/>
        <w:jc w:val="center"/>
        <w:rPr>
          <w:rFonts w:ascii="Times New Roman" w:hAnsi="Times New Roman" w:cs="Times New Roman"/>
          <w:sz w:val="24"/>
          <w:szCs w:val="24"/>
          <w:lang w:val="en-US"/>
        </w:rPr>
      </w:pPr>
    </w:p>
    <w:p w14:paraId="6D3D1F35" w14:textId="77777777" w:rsidR="00C46BD9" w:rsidRDefault="00C46BD9" w:rsidP="00C46BD9">
      <w:pPr>
        <w:spacing w:line="480" w:lineRule="auto"/>
        <w:jc w:val="center"/>
        <w:rPr>
          <w:rFonts w:ascii="Times New Roman" w:hAnsi="Times New Roman" w:cs="Times New Roman"/>
          <w:sz w:val="24"/>
          <w:szCs w:val="24"/>
          <w:lang w:val="en-US"/>
        </w:rPr>
      </w:pPr>
    </w:p>
    <w:p w14:paraId="15F2F9C0" w14:textId="77777777" w:rsidR="00C46BD9" w:rsidRDefault="00C46BD9" w:rsidP="00C46BD9">
      <w:pPr>
        <w:spacing w:line="480" w:lineRule="auto"/>
        <w:jc w:val="center"/>
        <w:rPr>
          <w:rFonts w:ascii="Times New Roman" w:hAnsi="Times New Roman" w:cs="Times New Roman"/>
          <w:sz w:val="24"/>
          <w:szCs w:val="24"/>
          <w:lang w:val="en-US"/>
        </w:rPr>
      </w:pPr>
    </w:p>
    <w:p w14:paraId="08043E3C" w14:textId="77777777" w:rsidR="00C46BD9" w:rsidRDefault="00C46BD9" w:rsidP="00C46BD9">
      <w:pPr>
        <w:spacing w:line="480" w:lineRule="auto"/>
        <w:jc w:val="center"/>
        <w:rPr>
          <w:rFonts w:ascii="Times New Roman" w:hAnsi="Times New Roman" w:cs="Times New Roman"/>
          <w:sz w:val="24"/>
          <w:szCs w:val="24"/>
          <w:lang w:val="en-US"/>
        </w:rPr>
      </w:pPr>
    </w:p>
    <w:p w14:paraId="21B54C7A" w14:textId="2563FD97" w:rsidR="00E73B41" w:rsidRDefault="000D5B76" w:rsidP="00C46BD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Business Agility, Innovation and Success Factors</w:t>
      </w:r>
    </w:p>
    <w:p w14:paraId="6AA8C73D" w14:textId="09FCD8A8" w:rsidR="000D5B76" w:rsidRDefault="000D5B76" w:rsidP="00C46BD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44106B17" w14:textId="18B2C1F0" w:rsidR="000D5B76" w:rsidRDefault="000D5B76" w:rsidP="00C46BD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643C7C74" w14:textId="77777777" w:rsidR="00C46BD9" w:rsidRDefault="00C46BD9" w:rsidP="00C46BD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ACF48E7" w14:textId="3FEF8E8D" w:rsidR="000D5B76" w:rsidRDefault="000D5B76" w:rsidP="00C46BD9">
      <w:pPr>
        <w:spacing w:line="480" w:lineRule="auto"/>
        <w:jc w:val="center"/>
        <w:rPr>
          <w:rFonts w:ascii="Times New Roman" w:hAnsi="Times New Roman" w:cs="Times New Roman"/>
          <w:sz w:val="24"/>
          <w:szCs w:val="24"/>
          <w:lang w:val="en-US"/>
        </w:rPr>
      </w:pPr>
      <w:r w:rsidRPr="000D5B76">
        <w:rPr>
          <w:rFonts w:ascii="Times New Roman" w:hAnsi="Times New Roman" w:cs="Times New Roman"/>
          <w:sz w:val="24"/>
          <w:szCs w:val="24"/>
          <w:lang w:val="en-US"/>
        </w:rPr>
        <w:lastRenderedPageBreak/>
        <w:t>Business Agility, Innovation and Success Factors</w:t>
      </w:r>
    </w:p>
    <w:p w14:paraId="7140270C" w14:textId="77777777" w:rsidR="000D5B76" w:rsidRDefault="000D5B76" w:rsidP="00C46BD9">
      <w:pPr>
        <w:spacing w:line="480" w:lineRule="auto"/>
        <w:jc w:val="center"/>
        <w:rPr>
          <w:rFonts w:ascii="Times New Roman" w:hAnsi="Times New Roman" w:cs="Times New Roman"/>
          <w:b/>
          <w:sz w:val="24"/>
          <w:szCs w:val="24"/>
          <w:lang w:val="en-US"/>
        </w:rPr>
      </w:pPr>
      <w:r w:rsidRPr="000D5B76">
        <w:rPr>
          <w:rFonts w:ascii="Times New Roman" w:hAnsi="Times New Roman" w:cs="Times New Roman"/>
          <w:b/>
          <w:sz w:val="24"/>
          <w:szCs w:val="24"/>
          <w:lang w:val="en-US"/>
        </w:rPr>
        <w:t>Introduction</w:t>
      </w:r>
    </w:p>
    <w:p w14:paraId="6382E792" w14:textId="40B72FD0"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Contemporary entrepreneurial ventures face an unprecedented number of challenges due to recent technological advancements. To survive these hurdles and create a successful business, the exceptional entrepreneur must adopt the right mindset which, together with the right locus of control, affects the agility of his business. Furthermore, the venture has to incorporate various crucial policies, practices, processes, and cultures that support innovation, while utilizing several communication tools that support agility. However, the role of effective management techniques in supporting a creative and innovative environment cannot be understated, alongside emotional intelligence</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specifically in the organizational leaders. More importantly, the entrepreneur should be able to use several techniques to identify market change and emerging opportunities and intentionally adopt organizational models that support these changes in his company. As such, this paper explains these concepts before providing an example of an outstanding entrepreneur who has personified the concepts in his entrepreneurial success.</w:t>
      </w:r>
    </w:p>
    <w:p w14:paraId="1BC7F56C" w14:textId="14AC2564" w:rsidR="000D5B76" w:rsidRDefault="000D5B76" w:rsidP="00C46BD9">
      <w:pPr>
        <w:spacing w:line="480" w:lineRule="auto"/>
        <w:jc w:val="center"/>
        <w:rPr>
          <w:rFonts w:ascii="Times New Roman" w:hAnsi="Times New Roman" w:cs="Times New Roman"/>
          <w:b/>
          <w:sz w:val="24"/>
          <w:szCs w:val="24"/>
          <w:lang w:val="en-US"/>
        </w:rPr>
      </w:pPr>
      <w:r w:rsidRPr="000D5B76">
        <w:rPr>
          <w:rFonts w:ascii="Times New Roman" w:hAnsi="Times New Roman" w:cs="Times New Roman"/>
          <w:b/>
          <w:sz w:val="24"/>
          <w:szCs w:val="24"/>
          <w:lang w:val="en-US"/>
        </w:rPr>
        <w:t>Mindset in Business</w:t>
      </w:r>
      <w:r>
        <w:rPr>
          <w:rFonts w:ascii="Times New Roman" w:hAnsi="Times New Roman" w:cs="Times New Roman"/>
          <w:b/>
          <w:sz w:val="24"/>
          <w:szCs w:val="24"/>
          <w:lang w:val="en-US"/>
        </w:rPr>
        <w:t xml:space="preserve"> and Locus of Control</w:t>
      </w:r>
    </w:p>
    <w:p w14:paraId="34CD2DB9" w14:textId="77777777" w:rsidR="000D5B76" w:rsidRDefault="000D5B76" w:rsidP="00C46BD9">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Mindset</w:t>
      </w:r>
    </w:p>
    <w:p w14:paraId="65BD441F" w14:textId="2226DB26"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 xml:space="preserve">In a business context, </w:t>
      </w:r>
      <w:r w:rsidR="0067225A">
        <w:rPr>
          <w:rFonts w:ascii="Times New Roman" w:hAnsi="Times New Roman" w:cs="Times New Roman"/>
          <w:sz w:val="24"/>
          <w:szCs w:val="24"/>
          <w:lang w:val="en-US"/>
        </w:rPr>
        <w:t>an entrepreneur’s mindset</w:t>
      </w:r>
      <w:r w:rsidRPr="000D5B76">
        <w:rPr>
          <w:rFonts w:ascii="Times New Roman" w:hAnsi="Times New Roman" w:cs="Times New Roman"/>
          <w:sz w:val="24"/>
          <w:szCs w:val="24"/>
          <w:lang w:val="en-US"/>
        </w:rPr>
        <w:t xml:space="preserve"> refers to the individual’s attributes, motivation, beliefs, attitude, and behavior that predetermine how they think regarding entrepreneurial tasks and opportunities (Haynie et al</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2010). While a fixed mindset is built on the belief that intelligence is predetermined and cannot be changed, a growth mindset adopts the belief that intelligence can be enhanced</w:t>
      </w:r>
      <w:r w:rsidR="0067225A">
        <w:rPr>
          <w:rFonts w:ascii="Times New Roman" w:hAnsi="Times New Roman" w:cs="Times New Roman"/>
          <w:sz w:val="24"/>
          <w:szCs w:val="24"/>
          <w:lang w:val="en-US"/>
        </w:rPr>
        <w:t xml:space="preserve"> </w:t>
      </w:r>
      <w:r w:rsidRPr="000D5B76">
        <w:rPr>
          <w:rFonts w:ascii="Times New Roman" w:hAnsi="Times New Roman" w:cs="Times New Roman"/>
          <w:sz w:val="24"/>
          <w:szCs w:val="24"/>
          <w:lang w:val="en-US"/>
        </w:rPr>
        <w:t xml:space="preserve">and learning is possible if an adequate amount of effort is applied (Dweck, 2015). Therefore, a fixed mindset encourages one to avoid taking risks, is more focused on the outcomes of events, and sees failure as a </w:t>
      </w:r>
      <w:r w:rsidRPr="000D5B76">
        <w:rPr>
          <w:rFonts w:ascii="Times New Roman" w:hAnsi="Times New Roman" w:cs="Times New Roman"/>
          <w:sz w:val="24"/>
          <w:szCs w:val="24"/>
          <w:lang w:val="en-US"/>
        </w:rPr>
        <w:lastRenderedPageBreak/>
        <w:t>confirmation of inability or lack of intelligence (Dweck, 2015). On the other hand, the growth mindset views failure as an inevitable part of learning and focuses more on the amount of effort applied, and does not prioritize appearances (Dweck, 2015). We can therefore infer that a growth-oriented mindset fosters risk-taking when opportunities arise and belief in oneself, in addition to their ability to learn from business experiences.</w:t>
      </w:r>
    </w:p>
    <w:p w14:paraId="2566F29B" w14:textId="77777777"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The mindset of an entrepreneur affects organizational agility. Agility in a business refers to its ability to “respond quickly to rapidly changing, fragmenting global markets that are served by networked competitors with routine access to a worldwide production system and are driven by demand for high-quality, high-performance, low-cost, customer-configured products and services” (Van Oosterhout, 2010). As such, to determine the link between the entrepreneur’s mindset and business agility, we need to recognize that agility is based on the ability to learn, anticipate, and respond to changes (Van Oosterhout, 2010). The anticipation of change requires data collection, which could be from direct business experiences, information from stakeholders, market research, or input from other people, after which the information is filtered for relevance in specific situations (Van Oosterhout, 2010). As a result, a growth mindset in the entrepreneur supports their openness to expanding their knowledge and intelligence, which translates to increased willingness and motivation in collecting this data and using it objectively to make predictions. This shows the first connection between mindset and business agility.</w:t>
      </w:r>
    </w:p>
    <w:p w14:paraId="4EB67E52" w14:textId="42C4B27A"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Additionally, the response to the business environment changes as part of business agility is dependent on the entrepreneur</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s mindset. Van Oosterhout (2010) explains several modalities of response to change, which include the ability to experiment and take risks with several outcomes, in addition to the amount of effort applied in the implementation of the response to changes. For one, an entrepreneur</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s mindset determines their risk-taking ability. Furthermore, a growth mindset is focused on the effort to be applied in the adjustment to </w:t>
      </w:r>
      <w:r w:rsidRPr="000D5B76">
        <w:rPr>
          <w:rFonts w:ascii="Times New Roman" w:hAnsi="Times New Roman" w:cs="Times New Roman"/>
          <w:sz w:val="24"/>
          <w:szCs w:val="24"/>
          <w:lang w:val="en-US"/>
        </w:rPr>
        <w:lastRenderedPageBreak/>
        <w:t>changes, while a fixed mindset is outcome-focused, which means that the learning ability of the entrepreneur in a fixed mindset is impeded. Learning is important in business agility. Also, the response to change is dependent on the resilience of the entrepreneur when facing various challenges and failures, which is directly correlated to the mindset.</w:t>
      </w:r>
    </w:p>
    <w:p w14:paraId="31B7F02C" w14:textId="77777777" w:rsidR="000D5B76" w:rsidRDefault="000D5B76" w:rsidP="00C46BD9">
      <w:pPr>
        <w:spacing w:line="480" w:lineRule="auto"/>
        <w:rPr>
          <w:rFonts w:ascii="Times New Roman" w:hAnsi="Times New Roman" w:cs="Times New Roman"/>
          <w:b/>
          <w:sz w:val="24"/>
          <w:szCs w:val="24"/>
          <w:lang w:val="en-US"/>
        </w:rPr>
      </w:pPr>
      <w:r w:rsidRPr="000D5B76">
        <w:rPr>
          <w:rFonts w:ascii="Times New Roman" w:hAnsi="Times New Roman" w:cs="Times New Roman"/>
          <w:b/>
          <w:sz w:val="24"/>
          <w:szCs w:val="24"/>
          <w:lang w:val="en-US"/>
        </w:rPr>
        <w:t>Locus of Control and Entrepreneurial Mindset</w:t>
      </w:r>
    </w:p>
    <w:p w14:paraId="20F20A6F" w14:textId="30B79C10"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The locus of control is an abstract idea based on the presumption that an entrepreneur’s belief in their ability to control life occurrences that affect them can ultimately determine their entrepreneurial success. In this sense, proponents of the concept believe that a spectrum exists with people who have a strong belief in personal control of their destiny on one end (Internal locus of control) and those who are more inclined to believe that external forces have more power in controlling the life events that happen to them (External locus of control) on the other end (Kroeck et al</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2010). The locus of control notion hypothesizes that an entrepreneur’s confidence in their individual ability to perform activities that determine the outcomes of their business shapes the entrepreneur’s expectations and their behavior as a result. Furthermore, we can assume that by understanding the effect of locus of control on entrepreneurial success, more focus can be directed on how to create business environments that enable the right type of locus of control.</w:t>
      </w:r>
    </w:p>
    <w:p w14:paraId="31AEA32B" w14:textId="0EE2C423"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An entrepreneur’s locus of control affects their entrepreneurial mindset. Essentially, an entrepreneur</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s locus of control not only determines their risk-taking capacity and adaptability, but also affects their perception of failure.  Kroeck et al</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(2010) report that an internal locus of control is associated with productive business and social experiences, increased motivation for a particular venture, contentment</w:t>
      </w:r>
      <w:r w:rsidR="0067225A">
        <w:rPr>
          <w:rFonts w:ascii="Times New Roman" w:hAnsi="Times New Roman" w:cs="Times New Roman"/>
          <w:sz w:val="24"/>
          <w:szCs w:val="24"/>
          <w:lang w:val="en-US"/>
        </w:rPr>
        <w:t xml:space="preserve">, </w:t>
      </w:r>
      <w:r w:rsidRPr="000D5B76">
        <w:rPr>
          <w:rFonts w:ascii="Times New Roman" w:hAnsi="Times New Roman" w:cs="Times New Roman"/>
          <w:sz w:val="24"/>
          <w:szCs w:val="24"/>
          <w:lang w:val="en-US"/>
        </w:rPr>
        <w:t xml:space="preserve">better decision-making skills, and the individual’s perception of the difficulty of various tasks. More specifically, an internal locus of control enables one to respond better to uncertain situations through objectively </w:t>
      </w:r>
      <w:r w:rsidRPr="000D5B76">
        <w:rPr>
          <w:rFonts w:ascii="Times New Roman" w:hAnsi="Times New Roman" w:cs="Times New Roman"/>
          <w:sz w:val="24"/>
          <w:szCs w:val="24"/>
          <w:lang w:val="en-US"/>
        </w:rPr>
        <w:lastRenderedPageBreak/>
        <w:t>analyzing various situations at hand compared against their goals in a persistent and self-monitoring manner (Kroeck et al</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2010). On the other hand, an external locus of control is positively related to patterns of failure, which is associated with the feeling of inability to control events around an individual (Kroeck et al</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2010). Consequently, the locus of control affects the entrepreneurial mindset.</w:t>
      </w:r>
    </w:p>
    <w:p w14:paraId="4E349861" w14:textId="024D3584" w:rsidR="000D5B76" w:rsidRDefault="000D5B76" w:rsidP="00C46BD9">
      <w:pPr>
        <w:spacing w:line="480" w:lineRule="auto"/>
        <w:jc w:val="center"/>
        <w:rPr>
          <w:rFonts w:ascii="Times New Roman" w:hAnsi="Times New Roman" w:cs="Times New Roman"/>
          <w:b/>
          <w:sz w:val="24"/>
          <w:szCs w:val="24"/>
          <w:lang w:val="en-US"/>
        </w:rPr>
      </w:pPr>
      <w:r w:rsidRPr="000D5B76">
        <w:rPr>
          <w:rFonts w:ascii="Times New Roman" w:hAnsi="Times New Roman" w:cs="Times New Roman"/>
          <w:b/>
          <w:sz w:val="24"/>
          <w:szCs w:val="24"/>
          <w:lang w:val="en-US"/>
        </w:rPr>
        <w:t xml:space="preserve">Policies, Practices, Processes, and Cultures that can either </w:t>
      </w:r>
      <w:r w:rsidR="00FC669E">
        <w:rPr>
          <w:rFonts w:ascii="Times New Roman" w:hAnsi="Times New Roman" w:cs="Times New Roman"/>
          <w:b/>
          <w:sz w:val="24"/>
          <w:szCs w:val="24"/>
          <w:lang w:val="en-US"/>
        </w:rPr>
        <w:t>S</w:t>
      </w:r>
      <w:r w:rsidRPr="000D5B76">
        <w:rPr>
          <w:rFonts w:ascii="Times New Roman" w:hAnsi="Times New Roman" w:cs="Times New Roman"/>
          <w:b/>
          <w:sz w:val="24"/>
          <w:szCs w:val="24"/>
          <w:lang w:val="en-US"/>
        </w:rPr>
        <w:t xml:space="preserve">tifle or Support </w:t>
      </w:r>
      <w:r w:rsidR="0067225A">
        <w:rPr>
          <w:rFonts w:ascii="Times New Roman" w:hAnsi="Times New Roman" w:cs="Times New Roman"/>
          <w:b/>
          <w:sz w:val="24"/>
          <w:szCs w:val="24"/>
          <w:lang w:val="en-US"/>
        </w:rPr>
        <w:t>i</w:t>
      </w:r>
      <w:r w:rsidRPr="000D5B76">
        <w:rPr>
          <w:rFonts w:ascii="Times New Roman" w:hAnsi="Times New Roman" w:cs="Times New Roman"/>
          <w:b/>
          <w:sz w:val="24"/>
          <w:szCs w:val="24"/>
          <w:lang w:val="en-US"/>
        </w:rPr>
        <w:t>nnovation</w:t>
      </w:r>
    </w:p>
    <w:p w14:paraId="4062D942" w14:textId="77777777" w:rsidR="000D5B76" w:rsidRDefault="000D5B76" w:rsidP="00C46BD9">
      <w:pPr>
        <w:spacing w:line="480" w:lineRule="auto"/>
        <w:rPr>
          <w:rFonts w:ascii="Times New Roman" w:hAnsi="Times New Roman" w:cs="Times New Roman"/>
          <w:b/>
          <w:sz w:val="24"/>
          <w:szCs w:val="24"/>
          <w:lang w:val="en-US"/>
        </w:rPr>
      </w:pPr>
      <w:r w:rsidRPr="000D5B76">
        <w:rPr>
          <w:rFonts w:ascii="Times New Roman" w:hAnsi="Times New Roman" w:cs="Times New Roman"/>
          <w:b/>
          <w:sz w:val="24"/>
          <w:szCs w:val="24"/>
          <w:lang w:val="en-US"/>
        </w:rPr>
        <w:t>Policies and Processes</w:t>
      </w:r>
    </w:p>
    <w:p w14:paraId="1925A5BD" w14:textId="5F9B4BC3"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 xml:space="preserve">Different policies and processes in organizations hinder or promote innovation to different extents. An organization’s policies refer to the guidelines to be followed when taking a course of action concerning a specific component of the organization, while processes are a component of the policies which outline the specific actions to be taken to implement the policies. For instance, </w:t>
      </w:r>
      <w:r w:rsidR="0067225A">
        <w:rPr>
          <w:rFonts w:ascii="Times New Roman" w:hAnsi="Times New Roman" w:cs="Times New Roman"/>
          <w:sz w:val="24"/>
          <w:szCs w:val="24"/>
          <w:lang w:val="en-US"/>
        </w:rPr>
        <w:t>a company’s recruitment policies</w:t>
      </w:r>
      <w:r w:rsidRPr="000D5B76">
        <w:rPr>
          <w:rFonts w:ascii="Times New Roman" w:hAnsi="Times New Roman" w:cs="Times New Roman"/>
          <w:sz w:val="24"/>
          <w:szCs w:val="24"/>
          <w:lang w:val="en-US"/>
        </w:rPr>
        <w:t xml:space="preserve"> determine how the employees are selected, which determines the quality of employees in the organization and, therefore, the quality of its inventors. As such, poor recruitment policies may condemn a company to low-quality employees who may slow down innovation in the organization. A company</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s policies regarding intellectual property determine the ability of the company to use innovation from one of its members. For instance, patents, which are part of the company policy on intellectual property, provide an employee—in exchange for disclosure of an invention— a limited-term property right to an inventor, during which time the inventor has the right to exclude others from making, using, or selling their invention (Bloom et al</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2019). Therefore, inappropriate patents may prevent a company from being able to utilize innovative products from its employees.</w:t>
      </w:r>
    </w:p>
    <w:p w14:paraId="0EB8DBBF" w14:textId="0CB865CA" w:rsidR="000D5B76" w:rsidRPr="000D5B76" w:rsidRDefault="000D5B76" w:rsidP="00C46BD9">
      <w:pPr>
        <w:spacing w:line="480" w:lineRule="auto"/>
        <w:rPr>
          <w:rFonts w:ascii="Times New Roman" w:hAnsi="Times New Roman" w:cs="Times New Roman"/>
          <w:b/>
          <w:sz w:val="24"/>
          <w:szCs w:val="24"/>
          <w:lang w:val="en-US"/>
        </w:rPr>
      </w:pPr>
      <w:r w:rsidRPr="000D5B76">
        <w:rPr>
          <w:rFonts w:ascii="Times New Roman" w:hAnsi="Times New Roman" w:cs="Times New Roman"/>
          <w:b/>
          <w:sz w:val="24"/>
          <w:szCs w:val="24"/>
          <w:lang w:val="en-US"/>
        </w:rPr>
        <w:t>Organizational Culture</w:t>
      </w:r>
    </w:p>
    <w:p w14:paraId="2C5D3A04" w14:textId="04E0E32B"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lastRenderedPageBreak/>
        <w:t>Organizational culture can either promote or hinder innovation. The organizational culture refers to the values, beliefs, and hidden assumptions that organizational members have in common (Sanz-Valle et al</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2011). The culture influences innovation by affecting organizational learning, which is how information is acquired and shared within the organization. This is first because the culture determines the members</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outlook on the importance of knowledge, how new knowledge is created and shared, and the context in which this knowledge is shared</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which correlates to the effectiveness of knowledge sharing (Sanz-Valle et al</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2011). Consequently, the four different cultures differently influence organizational learning, with the market and hierarchical cultures negatively affecting organizational learning, while adhocracy and clan cultures positively affect organizational learning (Sanz-Valle et al 2011).</w:t>
      </w:r>
    </w:p>
    <w:p w14:paraId="1313D9AF" w14:textId="0F579DCA"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Also, while the hierarchical culture hinders innovation by focusing on internal stability thus reducing the organization</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s access to new knowledge, the adhocracy culture promotes innovation by enhancing creativity and risk-taking alongside external orientation (Sanz-Valle et al 2011). On the other hand, the clan culture emphasizes teamwork, which enhances innovation through sharing knowledge</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but the market culture hinders innovation by focusing on internal stability rather than flexibility (Sanz-Valle et al</w:t>
      </w:r>
      <w:r w:rsidR="0067225A">
        <w:rPr>
          <w:rFonts w:ascii="Times New Roman" w:hAnsi="Times New Roman" w:cs="Times New Roman"/>
          <w:sz w:val="24"/>
          <w:szCs w:val="24"/>
          <w:lang w:val="en-US"/>
        </w:rPr>
        <w:t xml:space="preserve">., </w:t>
      </w:r>
      <w:r w:rsidRPr="000D5B76">
        <w:rPr>
          <w:rFonts w:ascii="Times New Roman" w:hAnsi="Times New Roman" w:cs="Times New Roman"/>
          <w:sz w:val="24"/>
          <w:szCs w:val="24"/>
          <w:lang w:val="en-US"/>
        </w:rPr>
        <w:t>2011). Therefore, to enhance organizational learning, which is a crucial component of innovation, neither a flexibility-focused culture nor an externally focused are enough, but both are essential in optimizing organizational learning (Sanz-Valle et al</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2011). As a result, organizations should create a culture that supports organizational learning to promote innovation.</w:t>
      </w:r>
    </w:p>
    <w:p w14:paraId="1FE9AACF" w14:textId="77777777" w:rsidR="000D5B76" w:rsidRDefault="000D5B76" w:rsidP="00C46BD9">
      <w:pPr>
        <w:spacing w:line="480" w:lineRule="auto"/>
        <w:rPr>
          <w:rFonts w:ascii="Times New Roman" w:hAnsi="Times New Roman" w:cs="Times New Roman"/>
          <w:b/>
          <w:sz w:val="24"/>
          <w:szCs w:val="24"/>
          <w:lang w:val="en-US"/>
        </w:rPr>
      </w:pPr>
      <w:r w:rsidRPr="000D5B76">
        <w:rPr>
          <w:rFonts w:ascii="Times New Roman" w:hAnsi="Times New Roman" w:cs="Times New Roman"/>
          <w:b/>
          <w:sz w:val="24"/>
          <w:szCs w:val="24"/>
          <w:lang w:val="en-US"/>
        </w:rPr>
        <w:t>Organizational Practices</w:t>
      </w:r>
    </w:p>
    <w:p w14:paraId="01B32DB6" w14:textId="4AB884D0"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 xml:space="preserve">Organizational practices can promote or hinder the innovative processes in an organization. </w:t>
      </w:r>
      <w:r w:rsidR="00B34AD4">
        <w:rPr>
          <w:rFonts w:ascii="Times New Roman" w:hAnsi="Times New Roman" w:cs="Times New Roman"/>
          <w:sz w:val="24"/>
          <w:szCs w:val="24"/>
          <w:lang w:val="en-US"/>
        </w:rPr>
        <w:t>The organizational culture heavily influences organizational practices</w:t>
      </w:r>
      <w:r w:rsidRPr="000D5B76">
        <w:rPr>
          <w:rFonts w:ascii="Times New Roman" w:hAnsi="Times New Roman" w:cs="Times New Roman"/>
          <w:sz w:val="24"/>
          <w:szCs w:val="24"/>
          <w:lang w:val="en-US"/>
        </w:rPr>
        <w:t xml:space="preserve">, and the </w:t>
      </w:r>
      <w:r w:rsidRPr="000D5B76">
        <w:rPr>
          <w:rFonts w:ascii="Times New Roman" w:hAnsi="Times New Roman" w:cs="Times New Roman"/>
          <w:sz w:val="24"/>
          <w:szCs w:val="24"/>
          <w:lang w:val="en-US"/>
        </w:rPr>
        <w:lastRenderedPageBreak/>
        <w:t>reverse is true since these practices also contribute to creating the environment in which innovation occurs. For instance, practices such as regularly motivating employees through rewards and recognition for exceptional performance create an environment that allows them to exercise their creativity and submit innovative ideas (Johnsson, 2017). Additionally, practices aimed at enhancing innovation</w:t>
      </w:r>
      <w:r w:rsidR="00B34AD4">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as proposed by Kaztenbach et al</w:t>
      </w:r>
      <w:r w:rsidR="00B34AD4">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(2012) include performance management, use of compensation for innovative ideas, creating reliable reporting structures, and setting up strategies for proper internal communication, while informal interventions would include the engagement of motivational leaders, enhancing peer to peer interactions, and creating meaningful manager-employee connections. Therefore, the organization</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s practices, business strategy and objectives should be aligned to the desired organizational and learning cultures of the organization (Kaztenbach et al</w:t>
      </w:r>
      <w:r w:rsidR="00B34AD4">
        <w:rPr>
          <w:rFonts w:ascii="Times New Roman" w:hAnsi="Times New Roman" w:cs="Times New Roman"/>
          <w:sz w:val="24"/>
          <w:szCs w:val="24"/>
          <w:lang w:val="en-US"/>
        </w:rPr>
        <w:t>.</w:t>
      </w:r>
      <w:r w:rsidRPr="000D5B76">
        <w:rPr>
          <w:rFonts w:ascii="Times New Roman" w:hAnsi="Times New Roman" w:cs="Times New Roman"/>
          <w:sz w:val="24"/>
          <w:szCs w:val="24"/>
          <w:lang w:val="en-US"/>
        </w:rPr>
        <w:t>, 2012).</w:t>
      </w:r>
    </w:p>
    <w:p w14:paraId="04596619" w14:textId="77777777" w:rsidR="000D5B76" w:rsidRDefault="000D5B76" w:rsidP="00C46BD9">
      <w:pPr>
        <w:spacing w:line="480" w:lineRule="auto"/>
        <w:jc w:val="center"/>
        <w:rPr>
          <w:rFonts w:ascii="Times New Roman" w:hAnsi="Times New Roman" w:cs="Times New Roman"/>
          <w:b/>
          <w:sz w:val="24"/>
          <w:szCs w:val="24"/>
          <w:lang w:val="en-US"/>
        </w:rPr>
      </w:pPr>
      <w:r w:rsidRPr="000D5B76">
        <w:rPr>
          <w:rFonts w:ascii="Times New Roman" w:hAnsi="Times New Roman" w:cs="Times New Roman"/>
          <w:b/>
          <w:sz w:val="24"/>
          <w:szCs w:val="24"/>
          <w:lang w:val="en-US"/>
        </w:rPr>
        <w:t>Communication Tools that Allow Agility</w:t>
      </w:r>
    </w:p>
    <w:p w14:paraId="22559DE1" w14:textId="0F73F40F"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To promote agility, several communication tools can be used. Williamson &amp; Bruno (2012) classify communication tools into four main categories which are: mutual discourse, which entails tools such as blogs, social media, and discussion forums; responsive dialogue which uses tools such as e-commerce, planning certificate forms, and development application forms; monologue communication tools such as electronic newsletters, meeting minutes and agendas, and audios/videos of public meetings; and feedback communication tools such as customer service e-mails and platforms for comment submission. These tools promote communication inside the organization</w:t>
      </w:r>
      <w:r w:rsidR="00E20498">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which is important for clarity of the organization</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s objectives and vision, effective leadership and sharing of internal knowledge; and outside the organization (with stockholders, possible customers and other organizations) which enables the company to clarify its position and engage with customers to gain feedback and find better ways to customize their products (Harraf et al</w:t>
      </w:r>
      <w:r w:rsidR="00FC669E">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2015). As such, they support </w:t>
      </w:r>
      <w:r w:rsidRPr="000D5B76">
        <w:rPr>
          <w:rFonts w:ascii="Times New Roman" w:hAnsi="Times New Roman" w:cs="Times New Roman"/>
          <w:sz w:val="24"/>
          <w:szCs w:val="24"/>
          <w:lang w:val="en-US"/>
        </w:rPr>
        <w:lastRenderedPageBreak/>
        <w:t>the organization’s access to internal and external knowledge to better anticipate, analyze and respond to changes.</w:t>
      </w:r>
    </w:p>
    <w:p w14:paraId="3D4E6701" w14:textId="77777777" w:rsidR="000D5B76" w:rsidRDefault="000D5B76" w:rsidP="00C46BD9">
      <w:pPr>
        <w:spacing w:line="480" w:lineRule="auto"/>
        <w:jc w:val="center"/>
        <w:rPr>
          <w:rFonts w:ascii="Times New Roman" w:hAnsi="Times New Roman" w:cs="Times New Roman"/>
          <w:b/>
          <w:sz w:val="24"/>
          <w:szCs w:val="24"/>
          <w:lang w:val="en-US"/>
        </w:rPr>
      </w:pPr>
      <w:r w:rsidRPr="000D5B76">
        <w:rPr>
          <w:rFonts w:ascii="Times New Roman" w:hAnsi="Times New Roman" w:cs="Times New Roman"/>
          <w:b/>
          <w:sz w:val="24"/>
          <w:szCs w:val="24"/>
          <w:lang w:val="en-US"/>
        </w:rPr>
        <w:t>Management Techniques for Innovative and Creative Organizations</w:t>
      </w:r>
    </w:p>
    <w:p w14:paraId="1459339A" w14:textId="7975E694"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Organizational management in innovative and creative organizations requires several techniques that mobilize the problem-solving ability and the creative potential of the members of the organization (Taha et al</w:t>
      </w:r>
      <w:r w:rsidR="00E20498">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2015). Essentially, these techniques should be aligned with the organization’s objectives and support the desired culture. As such, an important management technique is the setting of achievable goals and objectives that are reasonable for the members of the organization. </w:t>
      </w:r>
      <w:r w:rsidR="00E20498">
        <w:rPr>
          <w:rFonts w:ascii="Times New Roman" w:hAnsi="Times New Roman" w:cs="Times New Roman"/>
          <w:sz w:val="24"/>
          <w:szCs w:val="24"/>
          <w:lang w:val="en-US"/>
        </w:rPr>
        <w:t>The organizational management should also</w:t>
      </w:r>
      <w:r w:rsidRPr="000D5B76">
        <w:rPr>
          <w:rFonts w:ascii="Times New Roman" w:hAnsi="Times New Roman" w:cs="Times New Roman"/>
          <w:sz w:val="24"/>
          <w:szCs w:val="24"/>
          <w:lang w:val="en-US"/>
        </w:rPr>
        <w:t xml:space="preserve"> create systems and policies that ensure the organization recruits employees that are adequately skilled and have sufficient creative capabilities. Nonetheless, training programs that improve creative thinking and other skills among the employees can be incorporated to increase their abilities. Furthermore, employee feedback concerning their perceptions and preferred working conditions can inform management changes that can be implemented to optimize innovation and creativity among members of the organization.</w:t>
      </w:r>
    </w:p>
    <w:p w14:paraId="5D71A7BF" w14:textId="327FA569"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Additional management techniques include the allocation of work among individuals in a way that permits individuals to learn, develop, and have a sense of competence and mastery (Pfeffer, 2010). This ensures that the employees can obtain a feeling of purpose from doing meaningful work that is within their capabilities and can therefore optimize their innovative and creative potentials (Pfeffer, 2010). Furthermore, the members should be subjected to regular performance reviews, after which specific measures aimed at motivating the members through recognition or rewards for exceptional performance could be employed (Pfeffer, 2010). Also, tools that incorporate emotional intelligence</w:t>
      </w:r>
      <w:r w:rsidR="00E20498">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such as emotional </w:t>
      </w:r>
      <w:r w:rsidRPr="000D5B76">
        <w:rPr>
          <w:rFonts w:ascii="Times New Roman" w:hAnsi="Times New Roman" w:cs="Times New Roman"/>
          <w:sz w:val="24"/>
          <w:szCs w:val="24"/>
          <w:lang w:val="en-US"/>
        </w:rPr>
        <w:lastRenderedPageBreak/>
        <w:t>intelligence training can improve the members</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cooperation with others, better mental and physical health, better work outcomes, and improved productivity (Schutte et al</w:t>
      </w:r>
      <w:r w:rsidR="00E20498">
        <w:rPr>
          <w:rFonts w:ascii="Times New Roman" w:hAnsi="Times New Roman" w:cs="Times New Roman"/>
          <w:sz w:val="24"/>
          <w:szCs w:val="24"/>
          <w:lang w:val="en-US"/>
        </w:rPr>
        <w:t>.</w:t>
      </w:r>
      <w:r w:rsidRPr="000D5B76">
        <w:rPr>
          <w:rFonts w:ascii="Times New Roman" w:hAnsi="Times New Roman" w:cs="Times New Roman"/>
          <w:sz w:val="24"/>
          <w:szCs w:val="24"/>
          <w:lang w:val="en-US"/>
        </w:rPr>
        <w:t>, 2013).</w:t>
      </w:r>
    </w:p>
    <w:p w14:paraId="07816576" w14:textId="0D92AAFE" w:rsidR="000D5B76" w:rsidRDefault="000D5B76" w:rsidP="00C46BD9">
      <w:pPr>
        <w:spacing w:line="480" w:lineRule="auto"/>
        <w:jc w:val="center"/>
        <w:rPr>
          <w:rFonts w:ascii="Times New Roman" w:hAnsi="Times New Roman" w:cs="Times New Roman"/>
          <w:b/>
          <w:sz w:val="24"/>
          <w:szCs w:val="24"/>
          <w:lang w:val="en-US"/>
        </w:rPr>
      </w:pPr>
      <w:r w:rsidRPr="000D5B76">
        <w:rPr>
          <w:rFonts w:ascii="Times New Roman" w:hAnsi="Times New Roman" w:cs="Times New Roman"/>
          <w:b/>
          <w:sz w:val="24"/>
          <w:szCs w:val="24"/>
          <w:lang w:val="en-US"/>
        </w:rPr>
        <w:t xml:space="preserve">Emotional </w:t>
      </w:r>
      <w:r w:rsidR="00FC669E" w:rsidRPr="000D5B76">
        <w:rPr>
          <w:rFonts w:ascii="Times New Roman" w:hAnsi="Times New Roman" w:cs="Times New Roman"/>
          <w:b/>
          <w:sz w:val="24"/>
          <w:szCs w:val="24"/>
          <w:lang w:val="en-US"/>
        </w:rPr>
        <w:t xml:space="preserve">Intelligence </w:t>
      </w:r>
      <w:r w:rsidR="00FC669E">
        <w:rPr>
          <w:rFonts w:ascii="Times New Roman" w:hAnsi="Times New Roman" w:cs="Times New Roman"/>
          <w:b/>
          <w:sz w:val="24"/>
          <w:szCs w:val="24"/>
          <w:lang w:val="en-US"/>
        </w:rPr>
        <w:t>i</w:t>
      </w:r>
      <w:r w:rsidR="00FC669E" w:rsidRPr="000D5B76">
        <w:rPr>
          <w:rFonts w:ascii="Times New Roman" w:hAnsi="Times New Roman" w:cs="Times New Roman"/>
          <w:b/>
          <w:sz w:val="24"/>
          <w:szCs w:val="24"/>
          <w:lang w:val="en-US"/>
        </w:rPr>
        <w:t>n Leadership</w:t>
      </w:r>
    </w:p>
    <w:p w14:paraId="6A0DD70A" w14:textId="42146618"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Emotional intelligence is essential in creative organizational cultures. Emotional Intelligence is a skill that enables an individual to accurately express and acknowledge emotions in oneself and other people, to effectively regulate these emotions in self and others, and to use feelings to motivate, plan, and achieve goals in one’s life (Kerr et al</w:t>
      </w:r>
      <w:r w:rsidR="00E20498">
        <w:rPr>
          <w:rFonts w:ascii="Times New Roman" w:hAnsi="Times New Roman" w:cs="Times New Roman"/>
          <w:sz w:val="24"/>
          <w:szCs w:val="24"/>
          <w:lang w:val="en-US"/>
        </w:rPr>
        <w:t>.</w:t>
      </w:r>
      <w:r w:rsidRPr="000D5B76">
        <w:rPr>
          <w:rFonts w:ascii="Times New Roman" w:hAnsi="Times New Roman" w:cs="Times New Roman"/>
          <w:sz w:val="24"/>
          <w:szCs w:val="24"/>
          <w:lang w:val="en-US"/>
        </w:rPr>
        <w:t>, 2006). Emotional intelligence in an organizational context acknowledges that the organization is essentially a group of humans that have emotions and feelings, albeit having different characters, attitudes, customs, and backgrounds. Consequently, emotional intelligence in an organization enables the members to have integrated lives, in which the work roles and other roles are not inherently in conflict; and the work roles do not conflict with the worker</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s essential nature and who the person is as a human being (Pfeffer, 2010). </w:t>
      </w:r>
      <w:r w:rsidR="00253D06" w:rsidRPr="000D5B76">
        <w:rPr>
          <w:rFonts w:ascii="Times New Roman" w:hAnsi="Times New Roman" w:cs="Times New Roman"/>
          <w:sz w:val="24"/>
          <w:szCs w:val="24"/>
          <w:lang w:val="en-US"/>
        </w:rPr>
        <w:t>Therefore,</w:t>
      </w:r>
      <w:r w:rsidRPr="000D5B76">
        <w:rPr>
          <w:rFonts w:ascii="Times New Roman" w:hAnsi="Times New Roman" w:cs="Times New Roman"/>
          <w:sz w:val="24"/>
          <w:szCs w:val="24"/>
          <w:lang w:val="en-US"/>
        </w:rPr>
        <w:t xml:space="preserve"> emotional intelligence allows employees to illustrate their creative abilities by enabling them to freely express themselves, which is essential in creative cultures. Additionally, emotional intelligence supports superior social skills, communication, conflict management, teamwork, and collaboration</w:t>
      </w:r>
      <w:r w:rsidR="00891F1C">
        <w:rPr>
          <w:rFonts w:ascii="Times New Roman" w:hAnsi="Times New Roman" w:cs="Times New Roman"/>
          <w:sz w:val="24"/>
          <w:szCs w:val="24"/>
          <w:lang w:val="en-US"/>
        </w:rPr>
        <w:t>, directly correlated</w:t>
      </w:r>
      <w:r w:rsidRPr="000D5B76">
        <w:rPr>
          <w:rFonts w:ascii="Times New Roman" w:hAnsi="Times New Roman" w:cs="Times New Roman"/>
          <w:sz w:val="24"/>
          <w:szCs w:val="24"/>
          <w:lang w:val="en-US"/>
        </w:rPr>
        <w:t xml:space="preserve"> to better performance in creative organizations (Schutte et al, 2013).</w:t>
      </w:r>
    </w:p>
    <w:p w14:paraId="0C1CE26E" w14:textId="6C06635F"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An organizational leader with emotional intelligence supports an entrepreneurial culture in the organization. This is because an entrepreneurial culture requires horizontal communication between the leaders and subordinates rather than one-way</w:t>
      </w:r>
      <w:r w:rsidR="00891F1C">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top-down commands from the managers to the subordinates (Denning, 2016). Since leadership in an organization is essentially a social interaction in which the leader influences the behavior and performances of the subordinates, a leader with emotional intelligence effectively identifies </w:t>
      </w:r>
      <w:r w:rsidRPr="000D5B76">
        <w:rPr>
          <w:rFonts w:ascii="Times New Roman" w:hAnsi="Times New Roman" w:cs="Times New Roman"/>
          <w:sz w:val="24"/>
          <w:szCs w:val="24"/>
          <w:lang w:val="en-US"/>
        </w:rPr>
        <w:lastRenderedPageBreak/>
        <w:t>the followers’ emotional states, enables them to express their emotions, and then attempts to manage the followers’ emotional states appropriately (Kerr et al</w:t>
      </w:r>
      <w:r w:rsidR="00891F1C">
        <w:rPr>
          <w:rFonts w:ascii="Times New Roman" w:hAnsi="Times New Roman" w:cs="Times New Roman"/>
          <w:sz w:val="24"/>
          <w:szCs w:val="24"/>
          <w:lang w:val="en-US"/>
        </w:rPr>
        <w:t>.</w:t>
      </w:r>
      <w:r w:rsidRPr="000D5B76">
        <w:rPr>
          <w:rFonts w:ascii="Times New Roman" w:hAnsi="Times New Roman" w:cs="Times New Roman"/>
          <w:sz w:val="24"/>
          <w:szCs w:val="24"/>
          <w:lang w:val="en-US"/>
        </w:rPr>
        <w:t>, 2006). Consequently, emotional intelligence allows the manager to increase their regulation and positive utilization of their emotions and those of their subordinates, reduces misunderstandings (Denning, 2016). As such, emotional intelligence fosters a sense of connection and positive social relations between the leaders and their subordinates (Pfeffer, 2010). This facilitates the sharing of knowledge and information which are basic requirements for entrepreneurial culture. Additionally, emotional intelligence enables a leader to use the emotions of the subordinates to facilitate thought, which can generate new creative and innovative ideas that characterize an entrepreneurial culture.</w:t>
      </w:r>
    </w:p>
    <w:p w14:paraId="16301ECE" w14:textId="77777777" w:rsidR="000D5B76" w:rsidRDefault="000D5B76" w:rsidP="00C46BD9">
      <w:pPr>
        <w:spacing w:line="480" w:lineRule="auto"/>
        <w:jc w:val="center"/>
        <w:rPr>
          <w:rFonts w:ascii="Times New Roman" w:hAnsi="Times New Roman" w:cs="Times New Roman"/>
          <w:b/>
          <w:sz w:val="24"/>
          <w:szCs w:val="24"/>
          <w:lang w:val="en-US"/>
        </w:rPr>
      </w:pPr>
      <w:r w:rsidRPr="000D5B76">
        <w:rPr>
          <w:rFonts w:ascii="Times New Roman" w:hAnsi="Times New Roman" w:cs="Times New Roman"/>
          <w:b/>
          <w:sz w:val="24"/>
          <w:szCs w:val="24"/>
          <w:lang w:val="en-US"/>
        </w:rPr>
        <w:t>Techniques for Identifying Market Changes and Emerging Markets</w:t>
      </w:r>
    </w:p>
    <w:p w14:paraId="4C524B8F" w14:textId="3DEF669E"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Entrepreneurs and organizations, in general, can use several techniques to identify market changes and emerging markets. For one, a comprehensive analysis of the customer requirements and consumer patterns can provide useful information (Li et al</w:t>
      </w:r>
      <w:r w:rsidR="00891F1C">
        <w:rPr>
          <w:rFonts w:ascii="Times New Roman" w:hAnsi="Times New Roman" w:cs="Times New Roman"/>
          <w:sz w:val="24"/>
          <w:szCs w:val="24"/>
          <w:lang w:val="en-US"/>
        </w:rPr>
        <w:t>.</w:t>
      </w:r>
      <w:r w:rsidRPr="000D5B76">
        <w:rPr>
          <w:rFonts w:ascii="Times New Roman" w:hAnsi="Times New Roman" w:cs="Times New Roman"/>
          <w:sz w:val="24"/>
          <w:szCs w:val="24"/>
          <w:lang w:val="en-US"/>
        </w:rPr>
        <w:t>, 2015). More specifically, understanding the consumer requirements and patterns enables the entrepreneur to recognize and opportunities in the market created due to unaddressed customer needs or alterations in customer preference (Li et al</w:t>
      </w:r>
      <w:r w:rsidR="00891F1C">
        <w:rPr>
          <w:rFonts w:ascii="Times New Roman" w:hAnsi="Times New Roman" w:cs="Times New Roman"/>
          <w:sz w:val="24"/>
          <w:szCs w:val="24"/>
          <w:lang w:val="en-US"/>
        </w:rPr>
        <w:t>.</w:t>
      </w:r>
      <w:r w:rsidRPr="000D5B76">
        <w:rPr>
          <w:rFonts w:ascii="Times New Roman" w:hAnsi="Times New Roman" w:cs="Times New Roman"/>
          <w:sz w:val="24"/>
          <w:szCs w:val="24"/>
          <w:lang w:val="en-US"/>
        </w:rPr>
        <w:t>, 2015). Additionally, entrepreneurs can examine a particular industry to assess aspects such as how dynamic and competitive it is. In the modern world, most industries that incorporate technology are highly dynamic, and therefore competitive due to high levels of innovation and technological advancements (Chen &amp; Perez, 2018). Consequently, such industries have rapidly changing markets</w:t>
      </w:r>
      <w:r w:rsidR="00891F1C">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which implies more opportunities but also the additional risk of failure. Furthermore, entrepreneurs can study the incumbent organizations to redefine processes involved in value creation and capturing (Cozzolino et al</w:t>
      </w:r>
      <w:r w:rsidR="009F688C">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2018). Subsequently, they can then create value in different ways than those used by incumbents through orchestrating external sources of knowledge (rather than </w:t>
      </w:r>
      <w:r w:rsidRPr="000D5B76">
        <w:rPr>
          <w:rFonts w:ascii="Times New Roman" w:hAnsi="Times New Roman" w:cs="Times New Roman"/>
          <w:sz w:val="24"/>
          <w:szCs w:val="24"/>
          <w:lang w:val="en-US"/>
        </w:rPr>
        <w:lastRenderedPageBreak/>
        <w:t>producing knowledge through internal know-how, as incumbents were doing) and capturing value by controlling specialized platforms and customers’ data (rather than controlling specialized assets along a vertical value chain, as in the incumbents’ prior model) (Cozzolino, 2018). These techniques allow entrepreneurs to identify market changes and emerging markets.</w:t>
      </w:r>
    </w:p>
    <w:p w14:paraId="42D545CE" w14:textId="599E3C1E" w:rsidR="000D5B76" w:rsidRDefault="000D5B76" w:rsidP="00C46BD9">
      <w:pPr>
        <w:spacing w:line="480" w:lineRule="auto"/>
        <w:jc w:val="center"/>
        <w:rPr>
          <w:rFonts w:ascii="Times New Roman" w:hAnsi="Times New Roman" w:cs="Times New Roman"/>
          <w:b/>
          <w:sz w:val="24"/>
          <w:szCs w:val="24"/>
          <w:lang w:val="en-US"/>
        </w:rPr>
      </w:pPr>
      <w:r w:rsidRPr="000D5B76">
        <w:rPr>
          <w:rFonts w:ascii="Times New Roman" w:hAnsi="Times New Roman" w:cs="Times New Roman"/>
          <w:b/>
          <w:sz w:val="24"/>
          <w:szCs w:val="24"/>
          <w:lang w:val="en-US"/>
        </w:rPr>
        <w:t xml:space="preserve">Organizational </w:t>
      </w:r>
      <w:r w:rsidR="005A39DA" w:rsidRPr="000D5B76">
        <w:rPr>
          <w:rFonts w:ascii="Times New Roman" w:hAnsi="Times New Roman" w:cs="Times New Roman"/>
          <w:b/>
          <w:sz w:val="24"/>
          <w:szCs w:val="24"/>
          <w:lang w:val="en-US"/>
        </w:rPr>
        <w:t xml:space="preserve">Models </w:t>
      </w:r>
      <w:r w:rsidR="005A39DA">
        <w:rPr>
          <w:rFonts w:ascii="Times New Roman" w:hAnsi="Times New Roman" w:cs="Times New Roman"/>
          <w:b/>
          <w:sz w:val="24"/>
          <w:szCs w:val="24"/>
          <w:lang w:val="en-US"/>
        </w:rPr>
        <w:t>t</w:t>
      </w:r>
      <w:r w:rsidR="005A39DA" w:rsidRPr="000D5B76">
        <w:rPr>
          <w:rFonts w:ascii="Times New Roman" w:hAnsi="Times New Roman" w:cs="Times New Roman"/>
          <w:b/>
          <w:sz w:val="24"/>
          <w:szCs w:val="24"/>
          <w:lang w:val="en-US"/>
        </w:rPr>
        <w:t xml:space="preserve">hat Support Change </w:t>
      </w:r>
      <w:r w:rsidR="005A39DA">
        <w:rPr>
          <w:rFonts w:ascii="Times New Roman" w:hAnsi="Times New Roman" w:cs="Times New Roman"/>
          <w:b/>
          <w:sz w:val="24"/>
          <w:szCs w:val="24"/>
          <w:lang w:val="en-US"/>
        </w:rPr>
        <w:t>a</w:t>
      </w:r>
      <w:r w:rsidR="005A39DA" w:rsidRPr="000D5B76">
        <w:rPr>
          <w:rFonts w:ascii="Times New Roman" w:hAnsi="Times New Roman" w:cs="Times New Roman"/>
          <w:b/>
          <w:sz w:val="24"/>
          <w:szCs w:val="24"/>
          <w:lang w:val="en-US"/>
        </w:rPr>
        <w:t>nd Emerging Markets</w:t>
      </w:r>
    </w:p>
    <w:p w14:paraId="2CE34D4B" w14:textId="17FA04E6"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In a dynamic environment, the organizational model has to incorporate systems that support change and exploitation of emerging markets through agility. Organizational models can be classified into functional, divisional, matrix, and traditional models (Zaki et al</w:t>
      </w:r>
      <w:r w:rsidR="009F688C">
        <w:rPr>
          <w:rFonts w:ascii="Times New Roman" w:hAnsi="Times New Roman" w:cs="Times New Roman"/>
          <w:sz w:val="24"/>
          <w:szCs w:val="24"/>
          <w:lang w:val="en-US"/>
        </w:rPr>
        <w:t>.</w:t>
      </w:r>
      <w:r w:rsidRPr="000D5B76">
        <w:rPr>
          <w:rFonts w:ascii="Times New Roman" w:hAnsi="Times New Roman" w:cs="Times New Roman"/>
          <w:sz w:val="24"/>
          <w:szCs w:val="24"/>
          <w:lang w:val="en-US"/>
        </w:rPr>
        <w:t>, 2015). In the functional model, there is a reduced centralization of power as similar organizational activities are grouped under the same department (Ahmady et al</w:t>
      </w:r>
      <w:r w:rsidR="009F688C">
        <w:rPr>
          <w:rFonts w:ascii="Times New Roman" w:hAnsi="Times New Roman" w:cs="Times New Roman"/>
          <w:sz w:val="24"/>
          <w:szCs w:val="24"/>
          <w:lang w:val="en-US"/>
        </w:rPr>
        <w:t>.</w:t>
      </w:r>
      <w:r w:rsidRPr="000D5B76">
        <w:rPr>
          <w:rFonts w:ascii="Times New Roman" w:hAnsi="Times New Roman" w:cs="Times New Roman"/>
          <w:sz w:val="24"/>
          <w:szCs w:val="24"/>
          <w:lang w:val="en-US"/>
        </w:rPr>
        <w:t>, 2016).  In this model, specialization is maximized, which necessitates teamwork for effective collaboration between the members of the organization that is important for organizational agility (Ahmady et al</w:t>
      </w:r>
      <w:r w:rsidR="009F688C">
        <w:rPr>
          <w:rFonts w:ascii="Times New Roman" w:hAnsi="Times New Roman" w:cs="Times New Roman"/>
          <w:sz w:val="24"/>
          <w:szCs w:val="24"/>
          <w:lang w:val="en-US"/>
        </w:rPr>
        <w:t>.</w:t>
      </w:r>
      <w:r w:rsidRPr="000D5B76">
        <w:rPr>
          <w:rFonts w:ascii="Times New Roman" w:hAnsi="Times New Roman" w:cs="Times New Roman"/>
          <w:sz w:val="24"/>
          <w:szCs w:val="24"/>
          <w:lang w:val="en-US"/>
        </w:rPr>
        <w:t>, 2016). On the other hand, employees in the matrix model report to dual supervisors, one responsible for assessing functionality and the other for analyzing employee performance (Zaki et al, 2015). This model takes advantage of both the function and the project or the department structures leading to flexibility in responding to changes (Zaki et al</w:t>
      </w:r>
      <w:r w:rsidR="009F688C">
        <w:rPr>
          <w:rFonts w:ascii="Times New Roman" w:hAnsi="Times New Roman" w:cs="Times New Roman"/>
          <w:sz w:val="24"/>
          <w:szCs w:val="24"/>
          <w:lang w:val="en-US"/>
        </w:rPr>
        <w:t>.</w:t>
      </w:r>
      <w:r w:rsidRPr="000D5B76">
        <w:rPr>
          <w:rFonts w:ascii="Times New Roman" w:hAnsi="Times New Roman" w:cs="Times New Roman"/>
          <w:sz w:val="24"/>
          <w:szCs w:val="24"/>
          <w:lang w:val="en-US"/>
        </w:rPr>
        <w:t>, 2015). Conversely, the divisional model groups employees according to either a product or a project and can be extended to a geographical location or based on customer (Zaki et al</w:t>
      </w:r>
      <w:r w:rsidR="009F688C">
        <w:rPr>
          <w:rFonts w:ascii="Times New Roman" w:hAnsi="Times New Roman" w:cs="Times New Roman"/>
          <w:sz w:val="24"/>
          <w:szCs w:val="24"/>
          <w:lang w:val="en-US"/>
        </w:rPr>
        <w:t>.</w:t>
      </w:r>
      <w:r w:rsidRPr="000D5B76">
        <w:rPr>
          <w:rFonts w:ascii="Times New Roman" w:hAnsi="Times New Roman" w:cs="Times New Roman"/>
          <w:sz w:val="24"/>
          <w:szCs w:val="24"/>
          <w:lang w:val="en-US"/>
        </w:rPr>
        <w:t>, 2015). As such, the organization differentiates into smaller units that focus on products, customers, locations, or projects which enable them to address various issues and impacts caused by their individual needs, hence being able to respond quickly to changes that affect the product, customer, or location (Zaki et al</w:t>
      </w:r>
      <w:r w:rsidR="009F688C">
        <w:rPr>
          <w:rFonts w:ascii="Times New Roman" w:hAnsi="Times New Roman" w:cs="Times New Roman"/>
          <w:sz w:val="24"/>
          <w:szCs w:val="24"/>
          <w:lang w:val="en-US"/>
        </w:rPr>
        <w:t>.</w:t>
      </w:r>
      <w:r w:rsidRPr="000D5B76">
        <w:rPr>
          <w:rFonts w:ascii="Times New Roman" w:hAnsi="Times New Roman" w:cs="Times New Roman"/>
          <w:sz w:val="24"/>
          <w:szCs w:val="24"/>
          <w:lang w:val="en-US"/>
        </w:rPr>
        <w:t>, 2015). These three models support change.</w:t>
      </w:r>
    </w:p>
    <w:p w14:paraId="05422014" w14:textId="43977B55"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lastRenderedPageBreak/>
        <w:t>Traditional models do not support market changes. These models are bureaucratic and hierarchical and are characterized by centralized authority, narrow spans of control and decision making that follows the chain of command (Zaki et al</w:t>
      </w:r>
      <w:r w:rsidR="008B4139">
        <w:rPr>
          <w:rFonts w:ascii="Times New Roman" w:hAnsi="Times New Roman" w:cs="Times New Roman"/>
          <w:sz w:val="24"/>
          <w:szCs w:val="24"/>
          <w:lang w:val="en-US"/>
        </w:rPr>
        <w:t>.</w:t>
      </w:r>
      <w:r w:rsidRPr="000D5B76">
        <w:rPr>
          <w:rFonts w:ascii="Times New Roman" w:hAnsi="Times New Roman" w:cs="Times New Roman"/>
          <w:sz w:val="24"/>
          <w:szCs w:val="24"/>
          <w:lang w:val="en-US"/>
        </w:rPr>
        <w:t>, 2015). Although each employee has only one person to respond to, coordination becomes complex, and additional lead time is required for approval of decision due to extensive bureaucratic procedures (Zaki et al 2015). Additionally, the lack of structural fluidity in this model hinders flexibility (Harraf et al</w:t>
      </w:r>
      <w:r w:rsidR="008B4139">
        <w:rPr>
          <w:rFonts w:ascii="Times New Roman" w:hAnsi="Times New Roman" w:cs="Times New Roman"/>
          <w:sz w:val="24"/>
          <w:szCs w:val="24"/>
          <w:lang w:val="en-US"/>
        </w:rPr>
        <w:t>.</w:t>
      </w:r>
      <w:r w:rsidRPr="000D5B76">
        <w:rPr>
          <w:rFonts w:ascii="Times New Roman" w:hAnsi="Times New Roman" w:cs="Times New Roman"/>
          <w:sz w:val="24"/>
          <w:szCs w:val="24"/>
          <w:lang w:val="en-US"/>
        </w:rPr>
        <w:t>, 2015). Nonetheless, the model exhibits a solid continuity in the functional disciplines; policies, procedures, and lines of responsibility are easily defined and understandable (Zaki et al</w:t>
      </w:r>
      <w:r w:rsidR="008B4139">
        <w:rPr>
          <w:rFonts w:ascii="Times New Roman" w:hAnsi="Times New Roman" w:cs="Times New Roman"/>
          <w:sz w:val="24"/>
          <w:szCs w:val="24"/>
          <w:lang w:val="en-US"/>
        </w:rPr>
        <w:t>.</w:t>
      </w:r>
      <w:r w:rsidRPr="000D5B76">
        <w:rPr>
          <w:rFonts w:ascii="Times New Roman" w:hAnsi="Times New Roman" w:cs="Times New Roman"/>
          <w:sz w:val="24"/>
          <w:szCs w:val="24"/>
          <w:lang w:val="en-US"/>
        </w:rPr>
        <w:t>, 2015). However, no one is directly responsible for the total project in this model, and ideas tend to be functionally oriented with little regard for ongoing projects (Zaki et al</w:t>
      </w:r>
      <w:r w:rsidR="008B4139">
        <w:rPr>
          <w:rFonts w:ascii="Times New Roman" w:hAnsi="Times New Roman" w:cs="Times New Roman"/>
          <w:sz w:val="24"/>
          <w:szCs w:val="24"/>
          <w:lang w:val="en-US"/>
        </w:rPr>
        <w:t>.</w:t>
      </w:r>
      <w:r w:rsidRPr="000D5B76">
        <w:rPr>
          <w:rFonts w:ascii="Times New Roman" w:hAnsi="Times New Roman" w:cs="Times New Roman"/>
          <w:sz w:val="24"/>
          <w:szCs w:val="24"/>
          <w:lang w:val="en-US"/>
        </w:rPr>
        <w:t>, 2015). Consequently, traditional organizational models discourage agility by making the process of sharing information slower and hindering coordination. As a result, they do not support market changes.</w:t>
      </w:r>
    </w:p>
    <w:p w14:paraId="216697DB" w14:textId="77777777" w:rsidR="000D5B76" w:rsidRDefault="000D5B76" w:rsidP="00C46BD9">
      <w:pPr>
        <w:spacing w:line="480" w:lineRule="auto"/>
        <w:jc w:val="center"/>
        <w:rPr>
          <w:rFonts w:ascii="Times New Roman" w:hAnsi="Times New Roman" w:cs="Times New Roman"/>
          <w:b/>
          <w:bCs/>
          <w:sz w:val="24"/>
          <w:szCs w:val="24"/>
          <w:lang w:val="en-US"/>
        </w:rPr>
      </w:pPr>
      <w:r w:rsidRPr="000D5B76">
        <w:rPr>
          <w:rFonts w:ascii="Times New Roman" w:hAnsi="Times New Roman" w:cs="Times New Roman"/>
          <w:b/>
          <w:bCs/>
          <w:sz w:val="24"/>
          <w:szCs w:val="24"/>
          <w:lang w:val="en-US"/>
        </w:rPr>
        <w:t>Analysis of Elon Musk and his Capitalization of Emerging Market Opportunities</w:t>
      </w:r>
    </w:p>
    <w:p w14:paraId="0FE1048E" w14:textId="77777777" w:rsidR="000D5B76" w:rsidRDefault="000D5B76" w:rsidP="00C46BD9">
      <w:pPr>
        <w:spacing w:line="480" w:lineRule="auto"/>
        <w:rPr>
          <w:rFonts w:ascii="Times New Roman" w:hAnsi="Times New Roman" w:cs="Times New Roman"/>
          <w:b/>
          <w:sz w:val="24"/>
          <w:szCs w:val="24"/>
          <w:lang w:val="en-US"/>
        </w:rPr>
      </w:pPr>
      <w:r>
        <w:rPr>
          <w:rFonts w:ascii="Times New Roman" w:hAnsi="Times New Roman" w:cs="Times New Roman"/>
          <w:b/>
          <w:bCs/>
          <w:sz w:val="24"/>
          <w:szCs w:val="24"/>
          <w:lang w:val="en-US"/>
        </w:rPr>
        <w:t>E</w:t>
      </w:r>
      <w:r w:rsidRPr="000D5B76">
        <w:rPr>
          <w:rFonts w:ascii="Times New Roman" w:hAnsi="Times New Roman" w:cs="Times New Roman"/>
          <w:b/>
          <w:sz w:val="24"/>
          <w:szCs w:val="24"/>
          <w:lang w:val="en-US"/>
        </w:rPr>
        <w:t>lon Musk</w:t>
      </w:r>
      <w:r>
        <w:rPr>
          <w:rFonts w:ascii="Times New Roman" w:hAnsi="Times New Roman" w:cs="Times New Roman"/>
          <w:b/>
          <w:sz w:val="24"/>
          <w:szCs w:val="24"/>
          <w:lang w:val="en-US"/>
        </w:rPr>
        <w:t>’s</w:t>
      </w:r>
      <w:r w:rsidRPr="000D5B76">
        <w:rPr>
          <w:rFonts w:ascii="Times New Roman" w:hAnsi="Times New Roman" w:cs="Times New Roman"/>
          <w:b/>
          <w:sz w:val="24"/>
          <w:szCs w:val="24"/>
          <w:lang w:val="en-US"/>
        </w:rPr>
        <w:t xml:space="preserve"> Profile</w:t>
      </w:r>
    </w:p>
    <w:p w14:paraId="2EAAAB93" w14:textId="2563450C" w:rsidR="000D5B76"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 xml:space="preserve">Popularly referred to as the modern-day </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Iron Man</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Elon Reeve Musk is a South African born entrepreneur mostly recognized for his roles in influential companies such as PayPal, Tesla Motors, and Space X (Mair, 2016). Musk co-founded Tesla Motors in July of 2003 and became the company CEO in 2008, thereby leading the organization to its successes in recent years (Mair, 2016). Most evidently, the establishment and rise to prominence of Tesla in the automobile industry illustrate Musk</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s exceptional entrepreneurial qualities in identifying and taking advantage of opportunities in emerging markets. As such, Tesla qualifies as a disruptive innovation by Musk founded on recognizing a gap in the emerging Electric Vehicle (EV) market and exploiting this opportunity by making electrical </w:t>
      </w:r>
      <w:r w:rsidRPr="000D5B76">
        <w:rPr>
          <w:rFonts w:ascii="Times New Roman" w:hAnsi="Times New Roman" w:cs="Times New Roman"/>
          <w:sz w:val="24"/>
          <w:szCs w:val="24"/>
          <w:lang w:val="en-US"/>
        </w:rPr>
        <w:lastRenderedPageBreak/>
        <w:t>vehicles, batteries, and EV infrastructure</w:t>
      </w:r>
      <w:r w:rsidR="008B4139">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which has slowly penetrated the automobile industry looking to eventually achieve market dominance. Musk’s successes at Tesla expose his ability to identify market changes, as well as some of his crucial skills and traits in exploiting these opportunities.</w:t>
      </w:r>
    </w:p>
    <w:p w14:paraId="132E839C" w14:textId="2C7E3380" w:rsidR="000D5B76" w:rsidRDefault="000D5B76" w:rsidP="00C46BD9">
      <w:pPr>
        <w:spacing w:line="480" w:lineRule="auto"/>
        <w:rPr>
          <w:rFonts w:ascii="Times New Roman" w:hAnsi="Times New Roman" w:cs="Times New Roman"/>
          <w:b/>
          <w:sz w:val="24"/>
          <w:szCs w:val="24"/>
          <w:lang w:val="en-US"/>
        </w:rPr>
      </w:pPr>
      <w:r w:rsidRPr="000D5B76">
        <w:rPr>
          <w:rFonts w:ascii="Times New Roman" w:hAnsi="Times New Roman" w:cs="Times New Roman"/>
          <w:b/>
          <w:sz w:val="24"/>
          <w:szCs w:val="24"/>
          <w:lang w:val="en-US"/>
        </w:rPr>
        <w:t>Musk’s Identification of Emerging Market</w:t>
      </w:r>
      <w:r w:rsidR="005A39DA">
        <w:rPr>
          <w:rFonts w:ascii="Times New Roman" w:hAnsi="Times New Roman" w:cs="Times New Roman"/>
          <w:b/>
          <w:sz w:val="24"/>
          <w:szCs w:val="24"/>
          <w:lang w:val="en-US"/>
        </w:rPr>
        <w:t>s</w:t>
      </w:r>
    </w:p>
    <w:p w14:paraId="345DA96F" w14:textId="6C5CA510" w:rsidR="00EA1B5D"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 xml:space="preserve">Musk invented Tesla to take advantage of the emerging Electrical Vehicles (EV) market. By examining the incumbent automobile companies which mainly produced Internal Combustion Engine vehicles, Musk identified a gap in the manufacture of electric vehicles, which Tesla does. In penetrating the electric vehicle market, Musk also discovered an opportunity in the absence of adequate infrastructure to meet the </w:t>
      </w:r>
      <w:r w:rsidR="00253D06" w:rsidRPr="000D5B76">
        <w:rPr>
          <w:rFonts w:ascii="Times New Roman" w:hAnsi="Times New Roman" w:cs="Times New Roman"/>
          <w:sz w:val="24"/>
          <w:szCs w:val="24"/>
          <w:lang w:val="en-US"/>
        </w:rPr>
        <w:t>changing</w:t>
      </w:r>
      <w:r w:rsidRPr="000D5B76">
        <w:rPr>
          <w:rFonts w:ascii="Times New Roman" w:hAnsi="Times New Roman" w:cs="Times New Roman"/>
          <w:sz w:val="24"/>
          <w:szCs w:val="24"/>
          <w:lang w:val="en-US"/>
        </w:rPr>
        <w:t xml:space="preserve"> needs of the electric vehicle consumers through studying the consumer requirements. Thus, one of Tesla</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s long-term strategies includes the creation of a high-performance supercharger station and its aggressive expansion around the main intercity highways in the US and Europe (Chen &amp; Perez, 2018). Additionally, Tesla’s involvement in battery production was based on Musk’s identification of a gap in the battery market. By studying the EV industry, Musk discovered a high demand for affordable batteries due to the increased production of EV vehicles in recent times. As such, Musk’s Tesla has plans to sell Tesla-produced batteries to other companies, in addition to their customers when they buy a vehicle, with the possibility for extra purchase when the old battery needs to be replaced (Chen &amp; Perez, 2018). Therefore, Musk successfully identified the emerging markets in the EV industry</w:t>
      </w:r>
      <w:r w:rsidR="008B4139">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such as the EV infrastructure and battery markets, which Tesla aims to exploit.</w:t>
      </w:r>
    </w:p>
    <w:p w14:paraId="15E4E6D2" w14:textId="77777777" w:rsidR="00EA1B5D" w:rsidRDefault="00EA1B5D" w:rsidP="00C46BD9">
      <w:pPr>
        <w:spacing w:line="480" w:lineRule="auto"/>
        <w:rPr>
          <w:rFonts w:ascii="Times New Roman" w:hAnsi="Times New Roman" w:cs="Times New Roman"/>
          <w:b/>
          <w:sz w:val="24"/>
          <w:szCs w:val="24"/>
          <w:lang w:val="en-US"/>
        </w:rPr>
      </w:pPr>
      <w:r w:rsidRPr="00EA1B5D">
        <w:rPr>
          <w:rFonts w:ascii="Times New Roman" w:hAnsi="Times New Roman" w:cs="Times New Roman"/>
          <w:b/>
          <w:sz w:val="24"/>
          <w:szCs w:val="24"/>
          <w:lang w:val="en-US"/>
        </w:rPr>
        <w:t>Skills and Traits that Allowed Elon Musk to Capitalize on Emerging Markets</w:t>
      </w:r>
    </w:p>
    <w:p w14:paraId="19A78C93" w14:textId="744D7C9E" w:rsidR="00EA1B5D"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 xml:space="preserve">Elon Musk exemplifies some skills and traits that enabled him to successfully capitalize on the emerging market opportunities that he identified. Fundamentally, Musk </w:t>
      </w:r>
      <w:r w:rsidRPr="000D5B76">
        <w:rPr>
          <w:rFonts w:ascii="Times New Roman" w:hAnsi="Times New Roman" w:cs="Times New Roman"/>
          <w:sz w:val="24"/>
          <w:szCs w:val="24"/>
          <w:lang w:val="en-US"/>
        </w:rPr>
        <w:lastRenderedPageBreak/>
        <w:t>possessed a growth-oriented entrepreneurial mindset due to an enhanced ability to take risks creatively and innovatively. Musk demonstrated this from an early age when he dropped out of Stanford University to pursue his entrepreneurial aspirations (Mair, 2016). This also shows his internal locus of control in taking charge of his aspirations. Additionally, he became the CEO of Tesla amid a financial crisis, which forced him to take a huge risk by firing 25% of Tesla</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s company to evade bankruptcy (Mair, 2016). This also illustrates Musk’s perseverance and determination at Tesla, which have enabled him to achieve his main ambition of changing the public opinion regarding electric cars (Mair, 2016). However, even after producing their first model, the Roadster, the company only sold 147 cars in its first year of production (Mair, 2016). Musk’s perseverance paid off when in 2015, about 107,000 Model S cars were sold, with over 325,000 reservations being made at the start of 2016 (Mair, 2016). These illustrate the contribution of Musk</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s risk-taking ability, determination, and perseverance in capitalizing on opportunities in the electric vehicle market.</w:t>
      </w:r>
    </w:p>
    <w:p w14:paraId="28E7BB59" w14:textId="672B9029" w:rsidR="00EA1B5D"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The leadership skills exemplified by Musk have contributed to the success of Tesla in the electric vehicle market. Musk works hard, as illustrated by his exceptional work ethic, which enables him to lead his employee by example (Yauney, 2018). Musk also shows exceptional personal dedication, since he had invested $70 million of his own money into the company as of 2015, and is heavily involved in the company’s crisis management through well-crafted memos</w:t>
      </w:r>
      <w:r w:rsidR="008B4139">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thus making the employees feel valued by the organization (Bučko, 2018). While this illustrates Musk’s internal locus of control in trying to affect his organization’s outcomes, it exemplifies emotional intelligence from Musk, in addition to how he structured his company to effectively use communication tools such as </w:t>
      </w:r>
      <w:r w:rsidR="008B4139">
        <w:rPr>
          <w:rFonts w:ascii="Times New Roman" w:hAnsi="Times New Roman" w:cs="Times New Roman"/>
          <w:sz w:val="24"/>
          <w:szCs w:val="24"/>
          <w:lang w:val="en-US"/>
        </w:rPr>
        <w:t>e</w:t>
      </w:r>
      <w:r w:rsidR="00876BCC">
        <w:rPr>
          <w:rFonts w:ascii="Times New Roman" w:hAnsi="Times New Roman" w:cs="Times New Roman"/>
          <w:sz w:val="24"/>
          <w:szCs w:val="24"/>
          <w:lang w:val="en-US"/>
        </w:rPr>
        <w:t>-</w:t>
      </w:r>
      <w:r w:rsidRPr="000D5B76">
        <w:rPr>
          <w:rFonts w:ascii="Times New Roman" w:hAnsi="Times New Roman" w:cs="Times New Roman"/>
          <w:sz w:val="24"/>
          <w:szCs w:val="24"/>
          <w:lang w:val="en-US"/>
        </w:rPr>
        <w:t>mails. Also, Musk</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s management involves surrounding himself with the best, which has led to a rigorous recruitment strategy at Tesla that focuses on problem-solving ability before employing a suitable candidate (Mair, 2016). Consequently, Musk has built a skilled and qualified </w:t>
      </w:r>
      <w:r w:rsidRPr="000D5B76">
        <w:rPr>
          <w:rFonts w:ascii="Times New Roman" w:hAnsi="Times New Roman" w:cs="Times New Roman"/>
          <w:sz w:val="24"/>
          <w:szCs w:val="24"/>
          <w:lang w:val="en-US"/>
        </w:rPr>
        <w:lastRenderedPageBreak/>
        <w:t>workforce, which increases the human resources at hand in enhancing the company’s performance.</w:t>
      </w:r>
    </w:p>
    <w:p w14:paraId="7E8C1511" w14:textId="77777777" w:rsidR="00EA1B5D" w:rsidRDefault="00EA1B5D" w:rsidP="00C46BD9">
      <w:pPr>
        <w:spacing w:line="480" w:lineRule="auto"/>
        <w:rPr>
          <w:rFonts w:ascii="Times New Roman" w:hAnsi="Times New Roman" w:cs="Times New Roman"/>
          <w:b/>
          <w:sz w:val="24"/>
          <w:szCs w:val="24"/>
          <w:lang w:val="en-US"/>
        </w:rPr>
      </w:pPr>
      <w:r w:rsidRPr="00EA1B5D">
        <w:rPr>
          <w:rFonts w:ascii="Times New Roman" w:hAnsi="Times New Roman" w:cs="Times New Roman"/>
          <w:b/>
          <w:sz w:val="24"/>
          <w:szCs w:val="24"/>
          <w:lang w:val="en-US"/>
        </w:rPr>
        <w:t>How Elon Musk Structured Tesla to Exploit the Market Changes, Promote Creativity and Remain Agile</w:t>
      </w:r>
    </w:p>
    <w:p w14:paraId="7CC912A0" w14:textId="45A058F8" w:rsidR="00EA1B5D"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To exploit market opportunities, Musk implemented an unorthodox business model and organizational structure at Tesla. The company uses a functional model by structuring its departments based on functionality, but it insists on ignoring formal hierarchy in reporting and collaborative processes, thus creating a culture that encourages every employee to reach out to anyone in the company regardless of the formal structure in the search for a solution (Bučko, 2018). Additionally, Tesla adopted an open-source business model through a patent announcement</w:t>
      </w:r>
      <w:r w:rsidR="008B4139">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which opened their IP Portfolio to anyone who wanted to use their technologies, thus enhancing their reputation as highly innovative to increase employer attractiveness and brand awareness (Moritz et al</w:t>
      </w:r>
      <w:r w:rsidR="008B4139">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2015). As such, Tesla is very open and transparent of their activities and strategies by posting on the official website and blogs, while the incumbent automobile makers are very strict </w:t>
      </w:r>
      <w:r w:rsidR="00876BCC">
        <w:rPr>
          <w:rFonts w:ascii="Times New Roman" w:hAnsi="Times New Roman" w:cs="Times New Roman"/>
          <w:sz w:val="24"/>
          <w:szCs w:val="24"/>
          <w:lang w:val="en-US"/>
        </w:rPr>
        <w:t>on keeping</w:t>
      </w:r>
      <w:r w:rsidRPr="000D5B76">
        <w:rPr>
          <w:rFonts w:ascii="Times New Roman" w:hAnsi="Times New Roman" w:cs="Times New Roman"/>
          <w:sz w:val="24"/>
          <w:szCs w:val="24"/>
          <w:lang w:val="en-US"/>
        </w:rPr>
        <w:t xml:space="preserve"> the information in secret (Moritz et al</w:t>
      </w:r>
      <w:r w:rsidR="008B4139">
        <w:rPr>
          <w:rFonts w:ascii="Times New Roman" w:hAnsi="Times New Roman" w:cs="Times New Roman"/>
          <w:sz w:val="24"/>
          <w:szCs w:val="24"/>
          <w:lang w:val="en-US"/>
        </w:rPr>
        <w:t>.</w:t>
      </w:r>
      <w:r w:rsidRPr="000D5B76">
        <w:rPr>
          <w:rFonts w:ascii="Times New Roman" w:hAnsi="Times New Roman" w:cs="Times New Roman"/>
          <w:sz w:val="24"/>
          <w:szCs w:val="24"/>
          <w:lang w:val="en-US"/>
        </w:rPr>
        <w:t>, 2015). Nonetheless, the company has a culture that puts high pressure on employees who are expected to work long hours to deliver on ambitious goals and stretch goals, thus work culture providing an extreme potential for innovation and exploitation of upside opportunities (Bučko, 2018).</w:t>
      </w:r>
    </w:p>
    <w:p w14:paraId="7C32C15E" w14:textId="238B31F2" w:rsidR="00EA1B5D" w:rsidRDefault="000D5B76" w:rsidP="00C46BD9">
      <w:pPr>
        <w:spacing w:line="480" w:lineRule="auto"/>
        <w:ind w:firstLine="720"/>
        <w:rPr>
          <w:rFonts w:ascii="Times New Roman" w:hAnsi="Times New Roman" w:cs="Times New Roman"/>
          <w:sz w:val="24"/>
          <w:szCs w:val="24"/>
          <w:lang w:val="en-US"/>
        </w:rPr>
      </w:pPr>
      <w:r w:rsidRPr="000D5B76">
        <w:rPr>
          <w:rFonts w:ascii="Times New Roman" w:hAnsi="Times New Roman" w:cs="Times New Roman"/>
          <w:sz w:val="24"/>
          <w:szCs w:val="24"/>
          <w:lang w:val="en-US"/>
        </w:rPr>
        <w:t xml:space="preserve">Musk has structured Tesla in a way that enhances agility, creativity and innovation at the organization. For starters, agility requires unlimited access to information to adequately anticipate and respond to changes. Tesla promotes this through a strategic partnership with other organizations within and outside the automobile industry such as Daimler, Panasonic, and Toyota not only for economic reasons but also </w:t>
      </w:r>
      <w:r w:rsidR="00876BCC">
        <w:rPr>
          <w:rFonts w:ascii="Times New Roman" w:hAnsi="Times New Roman" w:cs="Times New Roman"/>
          <w:sz w:val="24"/>
          <w:szCs w:val="24"/>
          <w:lang w:val="en-US"/>
        </w:rPr>
        <w:t>for promoting</w:t>
      </w:r>
      <w:r w:rsidRPr="000D5B76">
        <w:rPr>
          <w:rFonts w:ascii="Times New Roman" w:hAnsi="Times New Roman" w:cs="Times New Roman"/>
          <w:sz w:val="24"/>
          <w:szCs w:val="24"/>
          <w:lang w:val="en-US"/>
        </w:rPr>
        <w:t xml:space="preserve"> the sharing of knowledge </w:t>
      </w:r>
      <w:r w:rsidRPr="000D5B76">
        <w:rPr>
          <w:rFonts w:ascii="Times New Roman" w:hAnsi="Times New Roman" w:cs="Times New Roman"/>
          <w:sz w:val="24"/>
          <w:szCs w:val="24"/>
          <w:lang w:val="en-US"/>
        </w:rPr>
        <w:lastRenderedPageBreak/>
        <w:t>and technical know-how (Moritz et al</w:t>
      </w:r>
      <w:r w:rsidR="00876BCC">
        <w:rPr>
          <w:rFonts w:ascii="Times New Roman" w:hAnsi="Times New Roman" w:cs="Times New Roman"/>
          <w:sz w:val="24"/>
          <w:szCs w:val="24"/>
          <w:lang w:val="en-US"/>
        </w:rPr>
        <w:t>.</w:t>
      </w:r>
      <w:r w:rsidRPr="000D5B76">
        <w:rPr>
          <w:rFonts w:ascii="Times New Roman" w:hAnsi="Times New Roman" w:cs="Times New Roman"/>
          <w:sz w:val="24"/>
          <w:szCs w:val="24"/>
          <w:lang w:val="en-US"/>
        </w:rPr>
        <w:t>, 2015). Additionally, Musk does not spend any money on advertising at Tesla and instead channels these funds to innovation through augmenting their Research and Development, manufacturing, and design departments</w:t>
      </w:r>
      <w:r w:rsidR="00876BCC">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thus increasing the innovative potential of the organization (Mair, 2016). On the other hand, the company heavily invests in acquiring creative human resources by recruiting talented employees and teaching them to aim to the same organizational objectives and problem solving instead of stressing on making a profit (Mair, 2016). As such, the recruitment strategy employs individuals with high creativity and problem-solving ability.</w:t>
      </w:r>
    </w:p>
    <w:p w14:paraId="31FBC3CC" w14:textId="77777777" w:rsidR="00EA1B5D" w:rsidRDefault="000D5B76" w:rsidP="00C46BD9">
      <w:pPr>
        <w:spacing w:line="480" w:lineRule="auto"/>
        <w:jc w:val="center"/>
        <w:rPr>
          <w:rFonts w:ascii="Times New Roman" w:hAnsi="Times New Roman" w:cs="Times New Roman"/>
          <w:b/>
          <w:sz w:val="24"/>
          <w:szCs w:val="24"/>
          <w:lang w:val="en-US"/>
        </w:rPr>
      </w:pPr>
      <w:r w:rsidRPr="000D5B76">
        <w:rPr>
          <w:rFonts w:ascii="Times New Roman" w:hAnsi="Times New Roman" w:cs="Times New Roman"/>
          <w:b/>
          <w:sz w:val="24"/>
          <w:szCs w:val="24"/>
          <w:lang w:val="en-US"/>
        </w:rPr>
        <w:t>Conclusion</w:t>
      </w:r>
    </w:p>
    <w:p w14:paraId="524A9249" w14:textId="60CDEB5C" w:rsidR="00EA1B5D" w:rsidRDefault="00876BCC" w:rsidP="00C46BD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As seen above</w:t>
      </w:r>
      <w:r w:rsidR="000D5B76" w:rsidRPr="000D5B76">
        <w:rPr>
          <w:rFonts w:ascii="Times New Roman" w:hAnsi="Times New Roman" w:cs="Times New Roman"/>
          <w:sz w:val="24"/>
          <w:szCs w:val="24"/>
          <w:lang w:val="en-US"/>
        </w:rPr>
        <w:t>, Elon Musk</w:t>
      </w:r>
      <w:r>
        <w:rPr>
          <w:rFonts w:ascii="Times New Roman" w:hAnsi="Times New Roman" w:cs="Times New Roman"/>
          <w:sz w:val="24"/>
          <w:szCs w:val="24"/>
          <w:lang w:val="en-US"/>
        </w:rPr>
        <w:t>,</w:t>
      </w:r>
      <w:r w:rsidR="000D5B76" w:rsidRPr="000D5B76">
        <w:rPr>
          <w:rFonts w:ascii="Times New Roman" w:hAnsi="Times New Roman" w:cs="Times New Roman"/>
          <w:sz w:val="24"/>
          <w:szCs w:val="24"/>
          <w:lang w:val="en-US"/>
        </w:rPr>
        <w:t xml:space="preserve"> through Tesla embodies crucial aspects of entrepreneurship discussed in this paper. Firstly, he exemplifies how a growth-oriented mindset promotes one</w:t>
      </w:r>
      <w:r w:rsidR="0067225A">
        <w:rPr>
          <w:rFonts w:ascii="Times New Roman" w:hAnsi="Times New Roman" w:cs="Times New Roman"/>
          <w:sz w:val="24"/>
          <w:szCs w:val="24"/>
          <w:lang w:val="en-US"/>
        </w:rPr>
        <w:t>’</w:t>
      </w:r>
      <w:r w:rsidR="000D5B76" w:rsidRPr="000D5B76">
        <w:rPr>
          <w:rFonts w:ascii="Times New Roman" w:hAnsi="Times New Roman" w:cs="Times New Roman"/>
          <w:sz w:val="24"/>
          <w:szCs w:val="24"/>
          <w:lang w:val="en-US"/>
        </w:rPr>
        <w:t>s risk-taking ability, which is also supported by the internal locus of control he illustrates through taking charge of his ambitions. This mindset affects the organizational agility at Tesla, where he pushes his employees to work long hours to achieve ambitious goals. Additionally, Musk employs various essential policies, processes, practices and cultures at Tesla, some of which include ignoring formal hierarchy in reporting, rigorous recruitment policies, open communication channels and creative culture. In this, his well-structured memos and personalized e</w:t>
      </w:r>
      <w:r>
        <w:rPr>
          <w:rFonts w:ascii="Times New Roman" w:hAnsi="Times New Roman" w:cs="Times New Roman"/>
          <w:sz w:val="24"/>
          <w:szCs w:val="24"/>
          <w:lang w:val="en-US"/>
        </w:rPr>
        <w:t>-</w:t>
      </w:r>
      <w:r w:rsidR="000D5B76" w:rsidRPr="000D5B76">
        <w:rPr>
          <w:rFonts w:ascii="Times New Roman" w:hAnsi="Times New Roman" w:cs="Times New Roman"/>
          <w:sz w:val="24"/>
          <w:szCs w:val="24"/>
          <w:lang w:val="en-US"/>
        </w:rPr>
        <w:t xml:space="preserve">mails that show emotional intelligence act as essential communication tools among others </w:t>
      </w:r>
      <w:r>
        <w:rPr>
          <w:rFonts w:ascii="Times New Roman" w:hAnsi="Times New Roman" w:cs="Times New Roman"/>
          <w:sz w:val="24"/>
          <w:szCs w:val="24"/>
          <w:lang w:val="en-US"/>
        </w:rPr>
        <w:t>that</w:t>
      </w:r>
      <w:r w:rsidR="000D5B76" w:rsidRPr="000D5B76">
        <w:rPr>
          <w:rFonts w:ascii="Times New Roman" w:hAnsi="Times New Roman" w:cs="Times New Roman"/>
          <w:sz w:val="24"/>
          <w:szCs w:val="24"/>
          <w:lang w:val="en-US"/>
        </w:rPr>
        <w:t xml:space="preserve"> enhance agility. Moreover, his management techniques that encourage open communication and insist on acquiring high-quality employees support innovation and creativity in the company.</w:t>
      </w:r>
      <w:r>
        <w:rPr>
          <w:rFonts w:ascii="Times New Roman" w:hAnsi="Times New Roman" w:cs="Times New Roman"/>
          <w:sz w:val="24"/>
          <w:szCs w:val="24"/>
          <w:lang w:val="en-US"/>
        </w:rPr>
        <w:t xml:space="preserve"> </w:t>
      </w:r>
      <w:proofErr w:type="gramStart"/>
      <w:r w:rsidR="000D5B76" w:rsidRPr="000D5B76">
        <w:rPr>
          <w:rFonts w:ascii="Times New Roman" w:hAnsi="Times New Roman" w:cs="Times New Roman"/>
          <w:sz w:val="24"/>
          <w:szCs w:val="24"/>
          <w:lang w:val="en-US"/>
        </w:rPr>
        <w:t>We</w:t>
      </w:r>
      <w:proofErr w:type="gramEnd"/>
      <w:r w:rsidR="000D5B76" w:rsidRPr="000D5B76">
        <w:rPr>
          <w:rFonts w:ascii="Times New Roman" w:hAnsi="Times New Roman" w:cs="Times New Roman"/>
          <w:sz w:val="24"/>
          <w:szCs w:val="24"/>
          <w:lang w:val="en-US"/>
        </w:rPr>
        <w:t xml:space="preserve"> should, however, not ignore the fact that he invented Tesla to exploit market changes and emerging markets which he identified by studying the incumbent automobile organizations, examining the consumer requirements and analyzing the Electric Vehicle Industry. Consequently, he organized Tesla to utilize a partly functional model that supports open communication channels, together with </w:t>
      </w:r>
      <w:r w:rsidR="000D5B76" w:rsidRPr="000D5B76">
        <w:rPr>
          <w:rFonts w:ascii="Times New Roman" w:hAnsi="Times New Roman" w:cs="Times New Roman"/>
          <w:sz w:val="24"/>
          <w:szCs w:val="24"/>
          <w:lang w:val="en-US"/>
        </w:rPr>
        <w:lastRenderedPageBreak/>
        <w:t xml:space="preserve">an open-sourcing business model and strategic partnerships in exploiting the opportunities in the EV, EV infrastructure and battery markets. As such, </w:t>
      </w:r>
      <w:r w:rsidR="0067225A">
        <w:rPr>
          <w:rFonts w:ascii="Times New Roman" w:hAnsi="Times New Roman" w:cs="Times New Roman"/>
          <w:sz w:val="24"/>
          <w:szCs w:val="24"/>
          <w:lang w:val="en-US"/>
        </w:rPr>
        <w:t>“</w:t>
      </w:r>
      <w:r w:rsidR="000D5B76" w:rsidRPr="000D5B76">
        <w:rPr>
          <w:rFonts w:ascii="Times New Roman" w:hAnsi="Times New Roman" w:cs="Times New Roman"/>
          <w:sz w:val="24"/>
          <w:szCs w:val="24"/>
          <w:lang w:val="en-US"/>
        </w:rPr>
        <w:t>Iron Man</w:t>
      </w:r>
      <w:r w:rsidR="0067225A">
        <w:rPr>
          <w:rFonts w:ascii="Times New Roman" w:hAnsi="Times New Roman" w:cs="Times New Roman"/>
          <w:sz w:val="24"/>
          <w:szCs w:val="24"/>
          <w:lang w:val="en-US"/>
        </w:rPr>
        <w:t>”</w:t>
      </w:r>
      <w:r w:rsidR="000D5B76" w:rsidRPr="000D5B76">
        <w:rPr>
          <w:rFonts w:ascii="Times New Roman" w:hAnsi="Times New Roman" w:cs="Times New Roman"/>
          <w:sz w:val="24"/>
          <w:szCs w:val="24"/>
          <w:lang w:val="en-US"/>
        </w:rPr>
        <w:t xml:space="preserve"> is the perfect example of what it takes to be a successful entrepreneur by applying crucial concepts in the modern-day day business environment.</w:t>
      </w:r>
    </w:p>
    <w:p w14:paraId="61E6694D" w14:textId="77777777" w:rsidR="00C46BD9" w:rsidRDefault="00C46BD9" w:rsidP="00C46BD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611351C" w14:textId="55C78281" w:rsidR="00EA1B5D" w:rsidRDefault="000D5B76" w:rsidP="00C46BD9">
      <w:pPr>
        <w:spacing w:line="480" w:lineRule="auto"/>
        <w:jc w:val="center"/>
        <w:rPr>
          <w:rFonts w:ascii="Times New Roman" w:hAnsi="Times New Roman" w:cs="Times New Roman"/>
          <w:bCs/>
          <w:sz w:val="24"/>
          <w:szCs w:val="24"/>
          <w:lang w:val="en-US"/>
        </w:rPr>
      </w:pPr>
      <w:r w:rsidRPr="000D5B76">
        <w:rPr>
          <w:rFonts w:ascii="Times New Roman" w:hAnsi="Times New Roman" w:cs="Times New Roman"/>
          <w:bCs/>
          <w:sz w:val="24"/>
          <w:szCs w:val="24"/>
          <w:lang w:val="en-US"/>
        </w:rPr>
        <w:lastRenderedPageBreak/>
        <w:t>References</w:t>
      </w:r>
    </w:p>
    <w:p w14:paraId="1B79DAE9"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Ahmady, G., Mehrpour, M., &amp; Nikooravesh, A. (2016). Organizational structure. </w:t>
      </w:r>
      <w:r w:rsidRPr="000D5B76">
        <w:rPr>
          <w:rFonts w:ascii="Times New Roman" w:hAnsi="Times New Roman" w:cs="Times New Roman"/>
          <w:i/>
          <w:iCs/>
          <w:sz w:val="24"/>
          <w:szCs w:val="24"/>
          <w:lang w:val="en-US"/>
        </w:rPr>
        <w:t>Procedia-Social and Behavioral Sciences</w:t>
      </w:r>
      <w:r w:rsidRPr="000D5B76">
        <w:rPr>
          <w:rFonts w:ascii="Times New Roman" w:hAnsi="Times New Roman" w:cs="Times New Roman"/>
          <w:sz w:val="24"/>
          <w:szCs w:val="24"/>
          <w:lang w:val="en-US"/>
        </w:rPr>
        <w:t>, </w:t>
      </w:r>
      <w:r w:rsidRPr="000D5B76">
        <w:rPr>
          <w:rFonts w:ascii="Times New Roman" w:hAnsi="Times New Roman" w:cs="Times New Roman"/>
          <w:i/>
          <w:iCs/>
          <w:sz w:val="24"/>
          <w:szCs w:val="24"/>
          <w:lang w:val="en-US"/>
        </w:rPr>
        <w:t>230</w:t>
      </w:r>
      <w:r w:rsidRPr="000D5B76">
        <w:rPr>
          <w:rFonts w:ascii="Times New Roman" w:hAnsi="Times New Roman" w:cs="Times New Roman"/>
          <w:sz w:val="24"/>
          <w:szCs w:val="24"/>
          <w:lang w:val="en-US"/>
        </w:rPr>
        <w:t>, 455-462.</w:t>
      </w:r>
    </w:p>
    <w:p w14:paraId="2CCFE04E"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Bloom, N., Van Reenen, J., &amp; Williams, H. (2019). A toolkit of policies to promote innovation. </w:t>
      </w:r>
      <w:r w:rsidRPr="000D5B76">
        <w:rPr>
          <w:rFonts w:ascii="Times New Roman" w:hAnsi="Times New Roman" w:cs="Times New Roman"/>
          <w:i/>
          <w:sz w:val="24"/>
          <w:szCs w:val="24"/>
          <w:lang w:val="en-US"/>
        </w:rPr>
        <w:t>Journal of Economic Perspectives</w:t>
      </w:r>
      <w:r w:rsidRPr="000D5B76">
        <w:rPr>
          <w:rFonts w:ascii="Times New Roman" w:hAnsi="Times New Roman" w:cs="Times New Roman"/>
          <w:sz w:val="24"/>
          <w:szCs w:val="24"/>
          <w:lang w:val="en-US"/>
        </w:rPr>
        <w:t>, 33(3), 163-84.</w:t>
      </w:r>
    </w:p>
    <w:p w14:paraId="3DDCEB00"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Bučko, A. (2018). Protecting Reputation in Crisis: Case Study of Strategic Reputational Risk Management at Tesla Inc.</w:t>
      </w:r>
    </w:p>
    <w:p w14:paraId="5F303098"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 xml:space="preserve">Chen, Y., &amp; Perez, Y. (2018). Business model design: lessons learned from Tesla Motors. </w:t>
      </w:r>
      <w:r w:rsidRPr="000D5B76">
        <w:rPr>
          <w:rFonts w:ascii="Times New Roman" w:hAnsi="Times New Roman" w:cs="Times New Roman"/>
          <w:i/>
          <w:sz w:val="24"/>
          <w:szCs w:val="24"/>
          <w:lang w:val="en-US"/>
        </w:rPr>
        <w:t>In Towards a Sustainable Economy</w:t>
      </w:r>
      <w:r w:rsidRPr="000D5B76">
        <w:rPr>
          <w:rFonts w:ascii="Times New Roman" w:hAnsi="Times New Roman" w:cs="Times New Roman"/>
          <w:sz w:val="24"/>
          <w:szCs w:val="24"/>
          <w:lang w:val="en-US"/>
        </w:rPr>
        <w:t> (pp. 53-69). Springer, Cham.</w:t>
      </w:r>
    </w:p>
    <w:p w14:paraId="56C53001"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Cozzolino, A., Verona, G., &amp; Rothaermel, F. T. (2018). Unpacking the disruption process: New technology, business models, and incumbent adaptation. </w:t>
      </w:r>
      <w:r w:rsidRPr="000D5B76">
        <w:rPr>
          <w:rFonts w:ascii="Times New Roman" w:hAnsi="Times New Roman" w:cs="Times New Roman"/>
          <w:i/>
          <w:iCs/>
          <w:sz w:val="24"/>
          <w:szCs w:val="24"/>
          <w:lang w:val="en-US"/>
        </w:rPr>
        <w:t>Journal of Management Studies</w:t>
      </w:r>
      <w:r w:rsidRPr="000D5B76">
        <w:rPr>
          <w:rFonts w:ascii="Times New Roman" w:hAnsi="Times New Roman" w:cs="Times New Roman"/>
          <w:sz w:val="24"/>
          <w:szCs w:val="24"/>
          <w:lang w:val="en-US"/>
        </w:rPr>
        <w:t>, </w:t>
      </w:r>
      <w:r w:rsidRPr="000D5B76">
        <w:rPr>
          <w:rFonts w:ascii="Times New Roman" w:hAnsi="Times New Roman" w:cs="Times New Roman"/>
          <w:i/>
          <w:iCs/>
          <w:sz w:val="24"/>
          <w:szCs w:val="24"/>
          <w:lang w:val="en-US"/>
        </w:rPr>
        <w:t>55</w:t>
      </w:r>
      <w:r w:rsidRPr="000D5B76">
        <w:rPr>
          <w:rFonts w:ascii="Times New Roman" w:hAnsi="Times New Roman" w:cs="Times New Roman"/>
          <w:sz w:val="24"/>
          <w:szCs w:val="24"/>
          <w:lang w:val="en-US"/>
        </w:rPr>
        <w:t>(7), 1166-1202.</w:t>
      </w:r>
    </w:p>
    <w:p w14:paraId="65CF68B5"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Denning, S. (2016). How to make the whole organization “Agile”. </w:t>
      </w:r>
      <w:r w:rsidRPr="000D5B76">
        <w:rPr>
          <w:rFonts w:ascii="Times New Roman" w:hAnsi="Times New Roman" w:cs="Times New Roman"/>
          <w:i/>
          <w:sz w:val="24"/>
          <w:szCs w:val="24"/>
          <w:lang w:val="en-US"/>
        </w:rPr>
        <w:t>Strategy &amp; Leadership</w:t>
      </w:r>
      <w:r w:rsidRPr="000D5B76">
        <w:rPr>
          <w:rFonts w:ascii="Times New Roman" w:hAnsi="Times New Roman" w:cs="Times New Roman"/>
          <w:sz w:val="24"/>
          <w:szCs w:val="24"/>
          <w:lang w:val="en-US"/>
        </w:rPr>
        <w:t>.</w:t>
      </w:r>
    </w:p>
    <w:p w14:paraId="60F0D97E"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Dweck, C. (2015). Carol Dweck revisits the growth mindset. </w:t>
      </w:r>
      <w:r w:rsidRPr="000D5B76">
        <w:rPr>
          <w:rFonts w:ascii="Times New Roman" w:hAnsi="Times New Roman" w:cs="Times New Roman"/>
          <w:i/>
          <w:iCs/>
          <w:sz w:val="24"/>
          <w:szCs w:val="24"/>
          <w:lang w:val="en-US"/>
        </w:rPr>
        <w:t>Education Week</w:t>
      </w:r>
      <w:r w:rsidRPr="000D5B76">
        <w:rPr>
          <w:rFonts w:ascii="Times New Roman" w:hAnsi="Times New Roman" w:cs="Times New Roman"/>
          <w:sz w:val="24"/>
          <w:szCs w:val="24"/>
          <w:lang w:val="en-US"/>
        </w:rPr>
        <w:t>, </w:t>
      </w:r>
      <w:r w:rsidRPr="000D5B76">
        <w:rPr>
          <w:rFonts w:ascii="Times New Roman" w:hAnsi="Times New Roman" w:cs="Times New Roman"/>
          <w:i/>
          <w:iCs/>
          <w:sz w:val="24"/>
          <w:szCs w:val="24"/>
          <w:lang w:val="en-US"/>
        </w:rPr>
        <w:t>35</w:t>
      </w:r>
      <w:r w:rsidRPr="000D5B76">
        <w:rPr>
          <w:rFonts w:ascii="Times New Roman" w:hAnsi="Times New Roman" w:cs="Times New Roman"/>
          <w:sz w:val="24"/>
          <w:szCs w:val="24"/>
          <w:lang w:val="en-US"/>
        </w:rPr>
        <w:t>(5), 20-24.</w:t>
      </w:r>
    </w:p>
    <w:p w14:paraId="12D4ACA4"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Harraf, A., Wanasika, I., Tate, K., &amp; Talbott, K. (2015). Organizational agility.</w:t>
      </w:r>
      <w:r w:rsidRPr="000D5B76">
        <w:rPr>
          <w:rFonts w:ascii="Times New Roman" w:hAnsi="Times New Roman" w:cs="Times New Roman"/>
          <w:i/>
          <w:sz w:val="24"/>
          <w:szCs w:val="24"/>
          <w:lang w:val="en-US"/>
        </w:rPr>
        <w:t> Journal of Applied Business Research (JABR)</w:t>
      </w:r>
      <w:r w:rsidRPr="000D5B76">
        <w:rPr>
          <w:rFonts w:ascii="Times New Roman" w:hAnsi="Times New Roman" w:cs="Times New Roman"/>
          <w:sz w:val="24"/>
          <w:szCs w:val="24"/>
          <w:lang w:val="en-US"/>
        </w:rPr>
        <w:t>, 31(2), 675-686.</w:t>
      </w:r>
    </w:p>
    <w:p w14:paraId="03EFB858"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Haynie, M., Shepherd, D., Mosakowski, E., &amp; Earley, P. (2010). A situated metacognitive model of the entrepreneurial mindset. </w:t>
      </w:r>
      <w:r w:rsidRPr="000D5B76">
        <w:rPr>
          <w:rFonts w:ascii="Times New Roman" w:hAnsi="Times New Roman" w:cs="Times New Roman"/>
          <w:i/>
          <w:sz w:val="24"/>
          <w:szCs w:val="24"/>
          <w:lang w:val="en-US"/>
        </w:rPr>
        <w:t>Journal of business venturing</w:t>
      </w:r>
      <w:r w:rsidRPr="000D5B76">
        <w:rPr>
          <w:rFonts w:ascii="Times New Roman" w:hAnsi="Times New Roman" w:cs="Times New Roman"/>
          <w:sz w:val="24"/>
          <w:szCs w:val="24"/>
          <w:lang w:val="en-US"/>
        </w:rPr>
        <w:t>, 25(2), 217-229.</w:t>
      </w:r>
    </w:p>
    <w:p w14:paraId="1E7FB441"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Johnsson, M. (2017). Innovation enablers for innovation Teams-A review. </w:t>
      </w:r>
      <w:r w:rsidRPr="000D5B76">
        <w:rPr>
          <w:rFonts w:ascii="Times New Roman" w:hAnsi="Times New Roman" w:cs="Times New Roman"/>
          <w:i/>
          <w:iCs/>
          <w:sz w:val="24"/>
          <w:szCs w:val="24"/>
          <w:lang w:val="en-US"/>
        </w:rPr>
        <w:t>Journal of Innovation Management</w:t>
      </w:r>
      <w:r w:rsidRPr="000D5B76">
        <w:rPr>
          <w:rFonts w:ascii="Times New Roman" w:hAnsi="Times New Roman" w:cs="Times New Roman"/>
          <w:sz w:val="24"/>
          <w:szCs w:val="24"/>
          <w:lang w:val="en-US"/>
        </w:rPr>
        <w:t>, </w:t>
      </w:r>
      <w:r w:rsidRPr="000D5B76">
        <w:rPr>
          <w:rFonts w:ascii="Times New Roman" w:hAnsi="Times New Roman" w:cs="Times New Roman"/>
          <w:i/>
          <w:iCs/>
          <w:sz w:val="24"/>
          <w:szCs w:val="24"/>
          <w:lang w:val="en-US"/>
        </w:rPr>
        <w:t>5</w:t>
      </w:r>
      <w:r w:rsidRPr="000D5B76">
        <w:rPr>
          <w:rFonts w:ascii="Times New Roman" w:hAnsi="Times New Roman" w:cs="Times New Roman"/>
          <w:sz w:val="24"/>
          <w:szCs w:val="24"/>
          <w:lang w:val="en-US"/>
        </w:rPr>
        <w:t>(3), 75-121.</w:t>
      </w:r>
    </w:p>
    <w:p w14:paraId="2432E281" w14:textId="3399FBFE"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Katzenbach, J. R., Steffen, I., &amp; Kronley, C. (2012, July-August). Culture change that sticks: Start with what</w:t>
      </w:r>
      <w:r w:rsidR="0067225A">
        <w:rPr>
          <w:rFonts w:ascii="Times New Roman" w:hAnsi="Times New Roman" w:cs="Times New Roman"/>
          <w:sz w:val="24"/>
          <w:szCs w:val="24"/>
          <w:lang w:val="en-US"/>
        </w:rPr>
        <w:t>’</w:t>
      </w:r>
      <w:r w:rsidRPr="000D5B76">
        <w:rPr>
          <w:rFonts w:ascii="Times New Roman" w:hAnsi="Times New Roman" w:cs="Times New Roman"/>
          <w:sz w:val="24"/>
          <w:szCs w:val="24"/>
          <w:lang w:val="en-US"/>
        </w:rPr>
        <w:t>s already working</w:t>
      </w:r>
      <w:r w:rsidRPr="000D5B76">
        <w:rPr>
          <w:rFonts w:ascii="Times New Roman" w:hAnsi="Times New Roman" w:cs="Times New Roman"/>
          <w:i/>
          <w:sz w:val="24"/>
          <w:szCs w:val="24"/>
          <w:lang w:val="en-US"/>
        </w:rPr>
        <w:t>. Harvard Business Review</w:t>
      </w:r>
      <w:r w:rsidRPr="000D5B76">
        <w:rPr>
          <w:rFonts w:ascii="Times New Roman" w:hAnsi="Times New Roman" w:cs="Times New Roman"/>
          <w:sz w:val="24"/>
          <w:szCs w:val="24"/>
          <w:lang w:val="en-US"/>
        </w:rPr>
        <w:t>, 111-117.</w:t>
      </w:r>
      <w:r>
        <w:rPr>
          <w:rFonts w:ascii="Times New Roman" w:hAnsi="Times New Roman" w:cs="Times New Roman"/>
          <w:sz w:val="24"/>
          <w:szCs w:val="24"/>
          <w:lang w:val="en-US"/>
        </w:rPr>
        <w:t xml:space="preserve">Retrieved from  </w:t>
      </w:r>
      <w:hyperlink r:id="rId6" w:history="1">
        <w:r w:rsidRPr="000D5B76">
          <w:rPr>
            <w:rStyle w:val="Hyperlink"/>
            <w:rFonts w:ascii="Times New Roman" w:hAnsi="Times New Roman" w:cs="Times New Roman"/>
            <w:sz w:val="24"/>
            <w:szCs w:val="24"/>
            <w:lang w:val="en-US"/>
          </w:rPr>
          <w:t>http://cviewstrategies.com/wp-content/uploads/2014/03/HBR_Cultural-Change-That-Sticks.pdf</w:t>
        </w:r>
      </w:hyperlink>
    </w:p>
    <w:p w14:paraId="4F282DE1"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Kerr, R., Garvin, J., Heaton, N., &amp; Boyle, E. (2006). Emotional intelligence and leadership effectiveness. </w:t>
      </w:r>
      <w:r w:rsidRPr="000D5B76">
        <w:rPr>
          <w:rFonts w:ascii="Times New Roman" w:hAnsi="Times New Roman" w:cs="Times New Roman"/>
          <w:i/>
          <w:sz w:val="24"/>
          <w:szCs w:val="24"/>
          <w:lang w:val="en-US"/>
        </w:rPr>
        <w:t>Leadership &amp; Organization Development Journal</w:t>
      </w:r>
      <w:r w:rsidRPr="000D5B76">
        <w:rPr>
          <w:rFonts w:ascii="Times New Roman" w:hAnsi="Times New Roman" w:cs="Times New Roman"/>
          <w:sz w:val="24"/>
          <w:szCs w:val="24"/>
          <w:lang w:val="en-US"/>
        </w:rPr>
        <w:t>.</w:t>
      </w:r>
      <w:r w:rsidRPr="00EA1B5D">
        <w:rPr>
          <w:rFonts w:ascii="Times New Roman" w:hAnsi="Times New Roman" w:cs="Times New Roman"/>
          <w:i/>
          <w:iCs/>
          <w:sz w:val="24"/>
          <w:szCs w:val="24"/>
        </w:rPr>
        <w:t xml:space="preserve"> </w:t>
      </w:r>
      <w:r w:rsidRPr="00EA1B5D">
        <w:rPr>
          <w:rFonts w:ascii="Times New Roman" w:hAnsi="Times New Roman" w:cs="Times New Roman"/>
          <w:i/>
          <w:iCs/>
          <w:sz w:val="24"/>
          <w:szCs w:val="24"/>
        </w:rPr>
        <w:t>27</w:t>
      </w:r>
      <w:r w:rsidRPr="00EA1B5D">
        <w:rPr>
          <w:rFonts w:ascii="Times New Roman" w:hAnsi="Times New Roman" w:cs="Times New Roman"/>
          <w:sz w:val="24"/>
          <w:szCs w:val="24"/>
        </w:rPr>
        <w:t>(4), 265</w:t>
      </w:r>
      <w:r>
        <w:rPr>
          <w:rFonts w:ascii="Times New Roman" w:hAnsi="Times New Roman" w:cs="Times New Roman"/>
          <w:sz w:val="24"/>
          <w:szCs w:val="24"/>
          <w:lang w:val="en-US"/>
        </w:rPr>
        <w:t>-</w:t>
      </w:r>
      <w:r w:rsidRPr="00EA1B5D">
        <w:rPr>
          <w:rFonts w:ascii="Times New Roman" w:hAnsi="Times New Roman" w:cs="Times New Roman"/>
          <w:sz w:val="24"/>
          <w:szCs w:val="24"/>
        </w:rPr>
        <w:t>279</w:t>
      </w:r>
      <w:r>
        <w:rPr>
          <w:rFonts w:ascii="Times New Roman" w:hAnsi="Times New Roman" w:cs="Times New Roman"/>
          <w:sz w:val="24"/>
          <w:szCs w:val="24"/>
          <w:lang w:val="en-US"/>
        </w:rPr>
        <w:t>.</w:t>
      </w:r>
    </w:p>
    <w:p w14:paraId="5374E15C"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Kroeck, K. G., Bullough, A. M., &amp; Reynolds, P. D. (2010). Entrepreneurship and differences in locus of control. </w:t>
      </w:r>
      <w:r w:rsidRPr="000D5B76">
        <w:rPr>
          <w:rFonts w:ascii="Times New Roman" w:hAnsi="Times New Roman" w:cs="Times New Roman"/>
          <w:i/>
          <w:sz w:val="24"/>
          <w:szCs w:val="24"/>
          <w:lang w:val="en-US"/>
        </w:rPr>
        <w:t>Journal of Applied Management and Entrepreneurship</w:t>
      </w:r>
      <w:r w:rsidRPr="000D5B76">
        <w:rPr>
          <w:rFonts w:ascii="Times New Roman" w:hAnsi="Times New Roman" w:cs="Times New Roman"/>
          <w:sz w:val="24"/>
          <w:szCs w:val="24"/>
          <w:lang w:val="en-US"/>
        </w:rPr>
        <w:t>, </w:t>
      </w:r>
      <w:r w:rsidRPr="000D5B76">
        <w:rPr>
          <w:rFonts w:ascii="Times New Roman" w:hAnsi="Times New Roman" w:cs="Times New Roman"/>
          <w:i/>
          <w:iCs/>
          <w:sz w:val="24"/>
          <w:szCs w:val="24"/>
          <w:lang w:val="en-US"/>
        </w:rPr>
        <w:t>15</w:t>
      </w:r>
      <w:r w:rsidRPr="000D5B76">
        <w:rPr>
          <w:rFonts w:ascii="Times New Roman" w:hAnsi="Times New Roman" w:cs="Times New Roman"/>
          <w:sz w:val="24"/>
          <w:szCs w:val="24"/>
          <w:lang w:val="en-US"/>
        </w:rPr>
        <w:t>(1), 21.</w:t>
      </w:r>
    </w:p>
    <w:p w14:paraId="45F67158"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Li, G., Law, R., Vu, H. Q., Rong, J., &amp; Zhao, X. R. (2015). Identifying emerging hotel preferences using emerging pattern mining technique. </w:t>
      </w:r>
      <w:r w:rsidRPr="000D5B76">
        <w:rPr>
          <w:rFonts w:ascii="Times New Roman" w:hAnsi="Times New Roman" w:cs="Times New Roman"/>
          <w:i/>
          <w:iCs/>
          <w:sz w:val="24"/>
          <w:szCs w:val="24"/>
          <w:lang w:val="en-US"/>
        </w:rPr>
        <w:t>Tourism management</w:t>
      </w:r>
      <w:r w:rsidRPr="000D5B76">
        <w:rPr>
          <w:rFonts w:ascii="Times New Roman" w:hAnsi="Times New Roman" w:cs="Times New Roman"/>
          <w:sz w:val="24"/>
          <w:szCs w:val="24"/>
          <w:lang w:val="en-US"/>
        </w:rPr>
        <w:t>, </w:t>
      </w:r>
      <w:r w:rsidRPr="000D5B76">
        <w:rPr>
          <w:rFonts w:ascii="Times New Roman" w:hAnsi="Times New Roman" w:cs="Times New Roman"/>
          <w:i/>
          <w:iCs/>
          <w:sz w:val="24"/>
          <w:szCs w:val="24"/>
          <w:lang w:val="en-US"/>
        </w:rPr>
        <w:t>46</w:t>
      </w:r>
      <w:r w:rsidRPr="000D5B76">
        <w:rPr>
          <w:rFonts w:ascii="Times New Roman" w:hAnsi="Times New Roman" w:cs="Times New Roman"/>
          <w:sz w:val="24"/>
          <w:szCs w:val="24"/>
          <w:lang w:val="en-US"/>
        </w:rPr>
        <w:t>, 311-321.</w:t>
      </w:r>
    </w:p>
    <w:p w14:paraId="1A671E87"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Mair, M. (2016). Enlightened entrepreneurship: the success of Elon Musk.</w:t>
      </w:r>
    </w:p>
    <w:p w14:paraId="010AE78E"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Mak, H., Rong, Y., &amp; Shen, M. (2013). Infrastructure planning for electric vehicles with battery swapping. </w:t>
      </w:r>
      <w:r w:rsidRPr="000D5B76">
        <w:rPr>
          <w:rFonts w:ascii="Times New Roman" w:hAnsi="Times New Roman" w:cs="Times New Roman"/>
          <w:i/>
          <w:sz w:val="24"/>
          <w:szCs w:val="24"/>
          <w:lang w:val="en-US"/>
        </w:rPr>
        <w:t>Management Science</w:t>
      </w:r>
      <w:r w:rsidRPr="000D5B76">
        <w:rPr>
          <w:rFonts w:ascii="Times New Roman" w:hAnsi="Times New Roman" w:cs="Times New Roman"/>
          <w:sz w:val="24"/>
          <w:szCs w:val="24"/>
          <w:lang w:val="en-US"/>
        </w:rPr>
        <w:t>, 59(7), 1557-1575.</w:t>
      </w:r>
    </w:p>
    <w:p w14:paraId="1A61E324" w14:textId="557D6EA3"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 xml:space="preserve">Moritz, M., Redlich, T., Krenz, P., Buxbaum-Conradi, S., &amp; Wulfsberg, J. P. (2015, August). Tesla Motors, Inc.: Pioneer towards a new strategic approach in the automobile industry along the </w:t>
      </w:r>
      <w:r w:rsidRPr="000D5B76">
        <w:rPr>
          <w:rFonts w:ascii="Times New Roman" w:hAnsi="Times New Roman" w:cs="Times New Roman"/>
          <w:sz w:val="24"/>
          <w:szCs w:val="24"/>
          <w:lang w:val="en-US"/>
        </w:rPr>
        <w:t>open-source</w:t>
      </w:r>
      <w:r w:rsidRPr="000D5B76">
        <w:rPr>
          <w:rFonts w:ascii="Times New Roman" w:hAnsi="Times New Roman" w:cs="Times New Roman"/>
          <w:sz w:val="24"/>
          <w:szCs w:val="24"/>
          <w:lang w:val="en-US"/>
        </w:rPr>
        <w:t xml:space="preserve"> movement?. </w:t>
      </w:r>
      <w:r w:rsidRPr="000D5B76">
        <w:rPr>
          <w:rFonts w:ascii="Times New Roman" w:hAnsi="Times New Roman" w:cs="Times New Roman"/>
          <w:i/>
          <w:sz w:val="24"/>
          <w:szCs w:val="24"/>
          <w:lang w:val="en-US"/>
        </w:rPr>
        <w:t xml:space="preserve">In 2015 Portland International Conference </w:t>
      </w:r>
      <w:r w:rsidRPr="000D5B76">
        <w:rPr>
          <w:rFonts w:ascii="Times New Roman" w:hAnsi="Times New Roman" w:cs="Times New Roman"/>
          <w:i/>
          <w:sz w:val="24"/>
          <w:szCs w:val="24"/>
          <w:lang w:val="en-US"/>
        </w:rPr>
        <w:t>on</w:t>
      </w:r>
      <w:r w:rsidRPr="000D5B76">
        <w:rPr>
          <w:rFonts w:ascii="Times New Roman" w:hAnsi="Times New Roman" w:cs="Times New Roman"/>
          <w:i/>
          <w:sz w:val="24"/>
          <w:szCs w:val="24"/>
          <w:lang w:val="en-US"/>
        </w:rPr>
        <w:t xml:space="preserve"> Management </w:t>
      </w:r>
      <w:r w:rsidRPr="000D5B76">
        <w:rPr>
          <w:rFonts w:ascii="Times New Roman" w:hAnsi="Times New Roman" w:cs="Times New Roman"/>
          <w:i/>
          <w:sz w:val="24"/>
          <w:szCs w:val="24"/>
          <w:lang w:val="en-US"/>
        </w:rPr>
        <w:t>of</w:t>
      </w:r>
      <w:r w:rsidRPr="000D5B76">
        <w:rPr>
          <w:rFonts w:ascii="Times New Roman" w:hAnsi="Times New Roman" w:cs="Times New Roman"/>
          <w:i/>
          <w:sz w:val="24"/>
          <w:szCs w:val="24"/>
          <w:lang w:val="en-US"/>
        </w:rPr>
        <w:t xml:space="preserve"> Engineering </w:t>
      </w:r>
      <w:r w:rsidR="00253D06" w:rsidRPr="000D5B76">
        <w:rPr>
          <w:rFonts w:ascii="Times New Roman" w:hAnsi="Times New Roman" w:cs="Times New Roman"/>
          <w:i/>
          <w:sz w:val="24"/>
          <w:szCs w:val="24"/>
          <w:lang w:val="en-US"/>
        </w:rPr>
        <w:t>and</w:t>
      </w:r>
      <w:r w:rsidRPr="000D5B76">
        <w:rPr>
          <w:rFonts w:ascii="Times New Roman" w:hAnsi="Times New Roman" w:cs="Times New Roman"/>
          <w:i/>
          <w:sz w:val="24"/>
          <w:szCs w:val="24"/>
          <w:lang w:val="en-US"/>
        </w:rPr>
        <w:t xml:space="preserve"> Technology</w:t>
      </w:r>
      <w:r w:rsidRPr="000D5B76">
        <w:rPr>
          <w:rFonts w:ascii="Times New Roman" w:hAnsi="Times New Roman" w:cs="Times New Roman"/>
          <w:sz w:val="24"/>
          <w:szCs w:val="24"/>
          <w:lang w:val="en-US"/>
        </w:rPr>
        <w:t xml:space="preserve"> (picmet) (pp. 85-92). IEEE.</w:t>
      </w:r>
    </w:p>
    <w:p w14:paraId="3853AA88"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 xml:space="preserve">Pfeffer, J. (2010). Business and the spirit: Management practices that sustain values. </w:t>
      </w:r>
      <w:r w:rsidRPr="000D5B76">
        <w:rPr>
          <w:rFonts w:ascii="Times New Roman" w:hAnsi="Times New Roman" w:cs="Times New Roman"/>
          <w:i/>
          <w:sz w:val="24"/>
          <w:szCs w:val="24"/>
          <w:lang w:val="en-US"/>
        </w:rPr>
        <w:t>In Handbook of workplace spirituality and organizational performance</w:t>
      </w:r>
      <w:r w:rsidRPr="000D5B76">
        <w:rPr>
          <w:rFonts w:ascii="Times New Roman" w:hAnsi="Times New Roman" w:cs="Times New Roman"/>
          <w:sz w:val="24"/>
          <w:szCs w:val="24"/>
          <w:lang w:val="en-US"/>
        </w:rPr>
        <w:t> (pp. 43-59). Routledge.</w:t>
      </w:r>
    </w:p>
    <w:p w14:paraId="7CC1E933"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 xml:space="preserve">Sanz-Valle, R., Naranjo-Valencia, J., Jime´nez-Jime´nez, D., and Perez-Caballero, L. (2011). Linking organizational learning with technical innovation and organizational culture. </w:t>
      </w:r>
      <w:r w:rsidRPr="000D5B76">
        <w:rPr>
          <w:rFonts w:ascii="Times New Roman" w:hAnsi="Times New Roman" w:cs="Times New Roman"/>
          <w:i/>
          <w:sz w:val="24"/>
          <w:szCs w:val="24"/>
          <w:lang w:val="en-US"/>
        </w:rPr>
        <w:t>Journal of Knowledge Management.</w:t>
      </w:r>
      <w:r w:rsidRPr="000D5B76">
        <w:rPr>
          <w:rFonts w:ascii="Times New Roman" w:hAnsi="Times New Roman" w:cs="Times New Roman"/>
          <w:i/>
          <w:iCs/>
          <w:sz w:val="24"/>
          <w:szCs w:val="24"/>
          <w:lang w:val="en-US"/>
        </w:rPr>
        <w:t xml:space="preserve"> 15</w:t>
      </w:r>
      <w:r>
        <w:rPr>
          <w:rFonts w:ascii="Times New Roman" w:hAnsi="Times New Roman" w:cs="Times New Roman"/>
          <w:sz w:val="24"/>
          <w:szCs w:val="24"/>
          <w:lang w:val="en-US"/>
        </w:rPr>
        <w:t>(</w:t>
      </w:r>
      <w:r w:rsidRPr="000D5B76">
        <w:rPr>
          <w:rFonts w:ascii="Times New Roman" w:hAnsi="Times New Roman" w:cs="Times New Roman"/>
          <w:sz w:val="24"/>
          <w:szCs w:val="24"/>
          <w:lang w:val="en-US"/>
        </w:rPr>
        <w:t>6</w:t>
      </w:r>
      <w:r>
        <w:rPr>
          <w:rFonts w:ascii="Times New Roman" w:hAnsi="Times New Roman" w:cs="Times New Roman"/>
          <w:sz w:val="24"/>
          <w:szCs w:val="24"/>
          <w:lang w:val="en-US"/>
        </w:rPr>
        <w:t>)</w:t>
      </w:r>
      <w:r w:rsidRPr="000D5B76">
        <w:rPr>
          <w:rFonts w:ascii="Times New Roman" w:hAnsi="Times New Roman" w:cs="Times New Roman"/>
          <w:sz w:val="24"/>
          <w:szCs w:val="24"/>
          <w:lang w:val="en-US"/>
        </w:rPr>
        <w:t xml:space="preserve"> 997-1015.</w:t>
      </w:r>
    </w:p>
    <w:p w14:paraId="361C3E1E"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lastRenderedPageBreak/>
        <w:t>Schutte, N. S., Malouff, J. M., &amp; Thorsteinsson, E. B. (2013). Increasing emotional intelligence through training: Current status and future directions.</w:t>
      </w:r>
    </w:p>
    <w:p w14:paraId="7487D0A6"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Taha, V. A., Tej, J., &amp; Sirkova, M. (2015). Creative management techniques and methods as a part of the management education: analytical study on students’ perceptions. </w:t>
      </w:r>
      <w:r w:rsidRPr="000D5B76">
        <w:rPr>
          <w:rFonts w:ascii="Times New Roman" w:hAnsi="Times New Roman" w:cs="Times New Roman"/>
          <w:i/>
          <w:sz w:val="24"/>
          <w:szCs w:val="24"/>
          <w:lang w:val="en-US"/>
        </w:rPr>
        <w:t>Procedia-Social and Behavioral Sciences</w:t>
      </w:r>
      <w:r w:rsidRPr="000D5B76">
        <w:rPr>
          <w:rFonts w:ascii="Times New Roman" w:hAnsi="Times New Roman" w:cs="Times New Roman"/>
          <w:sz w:val="24"/>
          <w:szCs w:val="24"/>
          <w:lang w:val="en-US"/>
        </w:rPr>
        <w:t>, 197, 1918-1925.</w:t>
      </w:r>
    </w:p>
    <w:p w14:paraId="195C62A6"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Van Oosterhout, M. (2010). Business agility and information technology in service organizations (No. EPS-2010-198-LIS). Pp 1-5</w:t>
      </w:r>
      <w:r>
        <w:rPr>
          <w:rFonts w:ascii="Times New Roman" w:hAnsi="Times New Roman" w:cs="Times New Roman"/>
          <w:sz w:val="24"/>
          <w:szCs w:val="24"/>
          <w:lang w:val="en-US"/>
        </w:rPr>
        <w:t>.</w:t>
      </w:r>
    </w:p>
    <w:p w14:paraId="084134FA"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 xml:space="preserve">Williamson, Wayne &amp; Parolin, Bruno. (2012). </w:t>
      </w:r>
      <w:r w:rsidRPr="000D5B76">
        <w:rPr>
          <w:rFonts w:ascii="Times New Roman" w:hAnsi="Times New Roman" w:cs="Times New Roman"/>
          <w:sz w:val="24"/>
          <w:szCs w:val="24"/>
          <w:lang w:val="en-US"/>
        </w:rPr>
        <w:t>Review of web-based communications for town planning in local government</w:t>
      </w:r>
      <w:r w:rsidRPr="000D5B76">
        <w:rPr>
          <w:rFonts w:ascii="Times New Roman" w:hAnsi="Times New Roman" w:cs="Times New Roman"/>
          <w:sz w:val="24"/>
          <w:szCs w:val="24"/>
          <w:lang w:val="en-US"/>
        </w:rPr>
        <w:t xml:space="preserve">. </w:t>
      </w:r>
      <w:r w:rsidRPr="000D5B76">
        <w:rPr>
          <w:rFonts w:ascii="Times New Roman" w:hAnsi="Times New Roman" w:cs="Times New Roman"/>
          <w:i/>
          <w:sz w:val="24"/>
          <w:szCs w:val="24"/>
          <w:lang w:val="en-US"/>
        </w:rPr>
        <w:t>Journal of Urban Technology</w:t>
      </w:r>
      <w:r w:rsidRPr="000D5B76">
        <w:rPr>
          <w:rFonts w:ascii="Times New Roman" w:hAnsi="Times New Roman" w:cs="Times New Roman"/>
          <w:sz w:val="24"/>
          <w:szCs w:val="24"/>
          <w:lang w:val="en-US"/>
        </w:rPr>
        <w:t>. 19.</w:t>
      </w:r>
      <w:r>
        <w:rPr>
          <w:rFonts w:ascii="Times New Roman" w:hAnsi="Times New Roman" w:cs="Times New Roman"/>
          <w:sz w:val="24"/>
          <w:szCs w:val="24"/>
          <w:lang w:val="en-US"/>
        </w:rPr>
        <w:t xml:space="preserve"> </w:t>
      </w:r>
      <w:r w:rsidRPr="000D5B76">
        <w:rPr>
          <w:rFonts w:ascii="Times New Roman" w:hAnsi="Times New Roman" w:cs="Times New Roman"/>
          <w:sz w:val="24"/>
          <w:szCs w:val="24"/>
          <w:lang w:val="en-US"/>
        </w:rPr>
        <w:t>10.1080/10630732.2012.626702.</w:t>
      </w:r>
    </w:p>
    <w:p w14:paraId="489A16EA" w14:textId="77777777" w:rsidR="00F63949"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Yauney, R. H. (2018). Leadership Development: A Study of Elon Musk. </w:t>
      </w:r>
      <w:r w:rsidRPr="000D5B76">
        <w:rPr>
          <w:rFonts w:ascii="Times New Roman" w:hAnsi="Times New Roman" w:cs="Times New Roman"/>
          <w:i/>
          <w:sz w:val="24"/>
          <w:szCs w:val="24"/>
          <w:lang w:val="en-US"/>
        </w:rPr>
        <w:t>Marriott Student Review</w:t>
      </w:r>
      <w:r w:rsidRPr="000D5B76">
        <w:rPr>
          <w:rFonts w:ascii="Times New Roman" w:hAnsi="Times New Roman" w:cs="Times New Roman"/>
          <w:sz w:val="24"/>
          <w:szCs w:val="24"/>
          <w:lang w:val="en-US"/>
        </w:rPr>
        <w:t>, 2(2), 4.</w:t>
      </w:r>
    </w:p>
    <w:p w14:paraId="5A6DDC68" w14:textId="4DA6BECE" w:rsidR="00F63949" w:rsidRPr="000D5B76" w:rsidRDefault="00F63949" w:rsidP="00C46BD9">
      <w:pPr>
        <w:spacing w:line="480" w:lineRule="auto"/>
        <w:ind w:left="720" w:hanging="720"/>
        <w:rPr>
          <w:rFonts w:ascii="Times New Roman" w:hAnsi="Times New Roman" w:cs="Times New Roman"/>
          <w:sz w:val="24"/>
          <w:szCs w:val="24"/>
          <w:lang w:val="en-US"/>
        </w:rPr>
      </w:pPr>
      <w:r w:rsidRPr="000D5B76">
        <w:rPr>
          <w:rFonts w:ascii="Times New Roman" w:hAnsi="Times New Roman" w:cs="Times New Roman"/>
          <w:sz w:val="24"/>
          <w:szCs w:val="24"/>
          <w:lang w:val="en-US"/>
        </w:rPr>
        <w:t xml:space="preserve">Zaki, A., Hussien, S., Sanad, H., &amp; El-Khoriby, S. (2015). Analyzing organizational structure for contracting </w:t>
      </w:r>
      <w:r w:rsidR="00253D06" w:rsidRPr="000D5B76">
        <w:rPr>
          <w:rFonts w:ascii="Times New Roman" w:hAnsi="Times New Roman" w:cs="Times New Roman"/>
          <w:sz w:val="24"/>
          <w:szCs w:val="24"/>
          <w:lang w:val="en-US"/>
        </w:rPr>
        <w:t>firms</w:t>
      </w:r>
      <w:r w:rsidRPr="000D5B76">
        <w:rPr>
          <w:rFonts w:ascii="Times New Roman" w:hAnsi="Times New Roman" w:cs="Times New Roman"/>
          <w:sz w:val="24"/>
          <w:szCs w:val="24"/>
          <w:lang w:val="en-US"/>
        </w:rPr>
        <w:t xml:space="preserve"> of classification “A”, Egypt. </w:t>
      </w:r>
      <w:r w:rsidRPr="000D5B76">
        <w:rPr>
          <w:rFonts w:ascii="Times New Roman" w:hAnsi="Times New Roman" w:cs="Times New Roman"/>
          <w:i/>
          <w:iCs/>
          <w:sz w:val="24"/>
          <w:szCs w:val="24"/>
          <w:lang w:val="en-US"/>
        </w:rPr>
        <w:t>Journal of Engineering Sciences Assiut University Faculty of Engineering</w:t>
      </w:r>
      <w:r w:rsidRPr="000D5B76">
        <w:rPr>
          <w:rFonts w:ascii="Times New Roman" w:hAnsi="Times New Roman" w:cs="Times New Roman"/>
          <w:sz w:val="24"/>
          <w:szCs w:val="24"/>
          <w:lang w:val="en-US"/>
        </w:rPr>
        <w:t>, </w:t>
      </w:r>
      <w:r w:rsidRPr="000D5B76">
        <w:rPr>
          <w:rFonts w:ascii="Times New Roman" w:hAnsi="Times New Roman" w:cs="Times New Roman"/>
          <w:i/>
          <w:iCs/>
          <w:sz w:val="24"/>
          <w:szCs w:val="24"/>
          <w:lang w:val="en-US"/>
        </w:rPr>
        <w:t>43</w:t>
      </w:r>
      <w:r w:rsidRPr="000D5B76">
        <w:rPr>
          <w:rFonts w:ascii="Times New Roman" w:hAnsi="Times New Roman" w:cs="Times New Roman"/>
          <w:sz w:val="24"/>
          <w:szCs w:val="24"/>
          <w:lang w:val="en-US"/>
        </w:rPr>
        <w:t>(3), 403-428.</w:t>
      </w:r>
    </w:p>
    <w:sectPr w:rsidR="00F63949" w:rsidRPr="000D5B76" w:rsidSect="000D5B7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19CDA0" w14:textId="77777777" w:rsidR="000A601C" w:rsidRDefault="000A601C" w:rsidP="000D5B76">
      <w:pPr>
        <w:spacing w:after="0" w:line="240" w:lineRule="auto"/>
      </w:pPr>
      <w:r>
        <w:separator/>
      </w:r>
    </w:p>
  </w:endnote>
  <w:endnote w:type="continuationSeparator" w:id="0">
    <w:p w14:paraId="073FB1B9" w14:textId="77777777" w:rsidR="000A601C" w:rsidRDefault="000A601C" w:rsidP="000D5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97118D" w14:textId="77777777" w:rsidR="000A601C" w:rsidRDefault="000A601C" w:rsidP="000D5B76">
      <w:pPr>
        <w:spacing w:after="0" w:line="240" w:lineRule="auto"/>
      </w:pPr>
      <w:r>
        <w:separator/>
      </w:r>
    </w:p>
  </w:footnote>
  <w:footnote w:type="continuationSeparator" w:id="0">
    <w:p w14:paraId="2379A37F" w14:textId="77777777" w:rsidR="000A601C" w:rsidRDefault="000A601C" w:rsidP="000D5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35059293"/>
      <w:docPartObj>
        <w:docPartGallery w:val="Page Numbers (Top of Page)"/>
        <w:docPartUnique/>
      </w:docPartObj>
    </w:sdtPr>
    <w:sdtEndPr>
      <w:rPr>
        <w:noProof/>
      </w:rPr>
    </w:sdtEndPr>
    <w:sdtContent>
      <w:p w14:paraId="4E9361F8" w14:textId="0808210D" w:rsidR="000D5B76" w:rsidRPr="000D5B76" w:rsidRDefault="000D5B76" w:rsidP="000D5B76">
        <w:pPr>
          <w:pStyle w:val="Header"/>
          <w:jc w:val="right"/>
          <w:rPr>
            <w:rFonts w:ascii="Times New Roman" w:hAnsi="Times New Roman" w:cs="Times New Roman"/>
          </w:rPr>
        </w:pPr>
        <w:r w:rsidRPr="000D5B76">
          <w:rPr>
            <w:rFonts w:ascii="Times New Roman" w:hAnsi="Times New Roman" w:cs="Times New Roman"/>
            <w:lang w:val="en-US"/>
          </w:rPr>
          <w:t>BUSINESS AGILITY, INNOVATION AND SUCCESS FACTORS</w:t>
        </w:r>
        <w:r>
          <w:rPr>
            <w:rFonts w:ascii="Times New Roman" w:hAnsi="Times New Roman" w:cs="Times New Roman"/>
          </w:rPr>
          <w:tab/>
        </w:r>
        <w:r w:rsidRPr="000D5B76">
          <w:rPr>
            <w:rFonts w:ascii="Times New Roman" w:hAnsi="Times New Roman" w:cs="Times New Roman"/>
          </w:rPr>
          <w:fldChar w:fldCharType="begin"/>
        </w:r>
        <w:r w:rsidRPr="000D5B76">
          <w:rPr>
            <w:rFonts w:ascii="Times New Roman" w:hAnsi="Times New Roman" w:cs="Times New Roman"/>
          </w:rPr>
          <w:instrText xml:space="preserve"> PAGE   \* MERGEFORMAT </w:instrText>
        </w:r>
        <w:r w:rsidRPr="000D5B76">
          <w:rPr>
            <w:rFonts w:ascii="Times New Roman" w:hAnsi="Times New Roman" w:cs="Times New Roman"/>
          </w:rPr>
          <w:fldChar w:fldCharType="separate"/>
        </w:r>
        <w:r w:rsidRPr="000D5B76">
          <w:rPr>
            <w:rFonts w:ascii="Times New Roman" w:hAnsi="Times New Roman" w:cs="Times New Roman"/>
            <w:noProof/>
          </w:rPr>
          <w:t>2</w:t>
        </w:r>
        <w:r w:rsidRPr="000D5B7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42497538"/>
      <w:docPartObj>
        <w:docPartGallery w:val="Page Numbers (Top of Page)"/>
        <w:docPartUnique/>
      </w:docPartObj>
    </w:sdtPr>
    <w:sdtEndPr>
      <w:rPr>
        <w:noProof/>
      </w:rPr>
    </w:sdtEndPr>
    <w:sdtContent>
      <w:p w14:paraId="4562EDA5" w14:textId="1BBB621F" w:rsidR="000D5B76" w:rsidRPr="000D5B76" w:rsidRDefault="000D5B76" w:rsidP="000D5B76">
        <w:pPr>
          <w:pStyle w:val="Header"/>
          <w:jc w:val="right"/>
          <w:rPr>
            <w:rFonts w:ascii="Times New Roman" w:hAnsi="Times New Roman" w:cs="Times New Roman"/>
          </w:rPr>
        </w:pPr>
        <w:r>
          <w:rPr>
            <w:rFonts w:ascii="Times New Roman" w:hAnsi="Times New Roman" w:cs="Times New Roman"/>
            <w:lang w:val="en-US"/>
          </w:rPr>
          <w:t xml:space="preserve">Running head: </w:t>
        </w:r>
        <w:r w:rsidRPr="000D5B76">
          <w:rPr>
            <w:rFonts w:ascii="Times New Roman" w:hAnsi="Times New Roman" w:cs="Times New Roman"/>
            <w:lang w:val="en-US"/>
          </w:rPr>
          <w:t>BUSINESS AGILITY, INNOVATION AND SUCCESS FACTORS</w:t>
        </w:r>
        <w:r>
          <w:rPr>
            <w:rFonts w:ascii="Times New Roman" w:hAnsi="Times New Roman" w:cs="Times New Roman"/>
          </w:rPr>
          <w:tab/>
        </w:r>
        <w:r w:rsidRPr="000D5B76">
          <w:rPr>
            <w:rFonts w:ascii="Times New Roman" w:hAnsi="Times New Roman" w:cs="Times New Roman"/>
          </w:rPr>
          <w:fldChar w:fldCharType="begin"/>
        </w:r>
        <w:r w:rsidRPr="000D5B76">
          <w:rPr>
            <w:rFonts w:ascii="Times New Roman" w:hAnsi="Times New Roman" w:cs="Times New Roman"/>
          </w:rPr>
          <w:instrText xml:space="preserve"> PAGE   \* MERGEFORMAT </w:instrText>
        </w:r>
        <w:r w:rsidRPr="000D5B76">
          <w:rPr>
            <w:rFonts w:ascii="Times New Roman" w:hAnsi="Times New Roman" w:cs="Times New Roman"/>
          </w:rPr>
          <w:fldChar w:fldCharType="separate"/>
        </w:r>
        <w:r w:rsidRPr="000D5B76">
          <w:rPr>
            <w:rFonts w:ascii="Times New Roman" w:hAnsi="Times New Roman" w:cs="Times New Roman"/>
            <w:noProof/>
          </w:rPr>
          <w:t>2</w:t>
        </w:r>
        <w:r w:rsidRPr="000D5B7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3MjA1NTY1MDMzNTZS0lEKTi0uzszPAykwrAUAm7514CwAAAA="/>
  </w:docVars>
  <w:rsids>
    <w:rsidRoot w:val="000D5B76"/>
    <w:rsid w:val="000A601C"/>
    <w:rsid w:val="000D5B76"/>
    <w:rsid w:val="00195EB8"/>
    <w:rsid w:val="00253D06"/>
    <w:rsid w:val="005A39DA"/>
    <w:rsid w:val="0067225A"/>
    <w:rsid w:val="00722F96"/>
    <w:rsid w:val="00876BCC"/>
    <w:rsid w:val="00891F1C"/>
    <w:rsid w:val="008B4139"/>
    <w:rsid w:val="0096014A"/>
    <w:rsid w:val="009F688C"/>
    <w:rsid w:val="00B13F4A"/>
    <w:rsid w:val="00B34AD4"/>
    <w:rsid w:val="00C45D8E"/>
    <w:rsid w:val="00C46BD9"/>
    <w:rsid w:val="00E20498"/>
    <w:rsid w:val="00E73B41"/>
    <w:rsid w:val="00EA1B5D"/>
    <w:rsid w:val="00F63949"/>
    <w:rsid w:val="00FC669E"/>
    <w:rsid w:val="00FE2AA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3CFF8"/>
  <w15:chartTrackingRefBased/>
  <w15:docId w15:val="{2F0CDBB5-3ED5-4BFA-BE09-6F5066A7A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5B76"/>
    <w:rPr>
      <w:color w:val="0563C1" w:themeColor="hyperlink"/>
      <w:u w:val="single"/>
    </w:rPr>
  </w:style>
  <w:style w:type="character" w:styleId="UnresolvedMention">
    <w:name w:val="Unresolved Mention"/>
    <w:basedOn w:val="DefaultParagraphFont"/>
    <w:uiPriority w:val="99"/>
    <w:semiHidden/>
    <w:unhideWhenUsed/>
    <w:rsid w:val="000D5B76"/>
    <w:rPr>
      <w:color w:val="605E5C"/>
      <w:shd w:val="clear" w:color="auto" w:fill="E1DFDD"/>
    </w:rPr>
  </w:style>
  <w:style w:type="paragraph" w:styleId="Header">
    <w:name w:val="header"/>
    <w:basedOn w:val="Normal"/>
    <w:link w:val="HeaderChar"/>
    <w:uiPriority w:val="99"/>
    <w:unhideWhenUsed/>
    <w:rsid w:val="000D5B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5B76"/>
  </w:style>
  <w:style w:type="paragraph" w:styleId="Footer">
    <w:name w:val="footer"/>
    <w:basedOn w:val="Normal"/>
    <w:link w:val="FooterChar"/>
    <w:uiPriority w:val="99"/>
    <w:unhideWhenUsed/>
    <w:rsid w:val="000D5B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5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viewstrategies.com/wp-content/uploads/2014/03/HBR_Cultural-Change-That-Sticks.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20</Pages>
  <Words>5236</Words>
  <Characters>29847</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18</cp:revision>
  <dcterms:created xsi:type="dcterms:W3CDTF">2021-01-21T16:35:00Z</dcterms:created>
  <dcterms:modified xsi:type="dcterms:W3CDTF">2021-01-21T17:42:00Z</dcterms:modified>
</cp:coreProperties>
</file>